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451D02" w:rsidRDefault="007560E9" w:rsidP="00A6068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03A16" w:rsidRPr="003327EC" w:rsidRDefault="001649DF" w:rsidP="003327EC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3327EC">
        <w:rPr>
          <w:rFonts w:ascii="Arial" w:eastAsiaTheme="minorHAnsi" w:hAnsi="Arial" w:cs="Arial"/>
          <w:b/>
          <w:sz w:val="24"/>
          <w:szCs w:val="24"/>
        </w:rPr>
        <w:t>Leia</w:t>
      </w:r>
      <w:r w:rsidR="00A616E7" w:rsidRPr="003327EC">
        <w:rPr>
          <w:rFonts w:ascii="Arial" w:eastAsiaTheme="minorHAnsi" w:hAnsi="Arial" w:cs="Arial"/>
          <w:b/>
          <w:sz w:val="24"/>
          <w:szCs w:val="24"/>
        </w:rPr>
        <w:t>:</w:t>
      </w:r>
      <w:r w:rsidR="00CD0D71" w:rsidRPr="003327EC">
        <w:rPr>
          <w:rFonts w:ascii="Arial" w:hAnsi="Arial" w:cs="Arial"/>
          <w:b/>
          <w:sz w:val="24"/>
          <w:szCs w:val="24"/>
        </w:rPr>
        <w:t xml:space="preserve"> </w:t>
      </w:r>
    </w:p>
    <w:p w:rsidR="00B66E67" w:rsidRPr="003327EC" w:rsidRDefault="00B66E67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A5D74" w:rsidRDefault="004A5D74" w:rsidP="003327E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3327EC">
        <w:rPr>
          <w:rFonts w:ascii="Arial" w:hAnsi="Arial" w:cs="Arial"/>
          <w:b/>
          <w:sz w:val="24"/>
          <w:szCs w:val="24"/>
        </w:rPr>
        <w:t xml:space="preserve">Musical </w:t>
      </w:r>
      <w:r w:rsidR="003327EC">
        <w:rPr>
          <w:rFonts w:ascii="Arial" w:hAnsi="Arial" w:cs="Arial"/>
          <w:b/>
          <w:sz w:val="24"/>
          <w:szCs w:val="24"/>
        </w:rPr>
        <w:t>“</w:t>
      </w:r>
      <w:r w:rsidRPr="003327EC">
        <w:rPr>
          <w:rFonts w:ascii="Arial" w:hAnsi="Arial" w:cs="Arial"/>
          <w:b/>
          <w:sz w:val="24"/>
          <w:szCs w:val="24"/>
        </w:rPr>
        <w:t>Dom Casmurro</w:t>
      </w:r>
      <w:r w:rsidR="003327EC">
        <w:rPr>
          <w:rFonts w:ascii="Arial" w:hAnsi="Arial" w:cs="Arial"/>
          <w:b/>
          <w:sz w:val="24"/>
          <w:szCs w:val="24"/>
        </w:rPr>
        <w:t>”</w:t>
      </w:r>
      <w:r w:rsidRPr="003327EC">
        <w:rPr>
          <w:rFonts w:ascii="Arial" w:hAnsi="Arial" w:cs="Arial"/>
          <w:b/>
          <w:sz w:val="24"/>
          <w:szCs w:val="24"/>
        </w:rPr>
        <w:t xml:space="preserve"> inicia temporada gratuita em São Paulo</w:t>
      </w:r>
    </w:p>
    <w:p w:rsidR="003327EC" w:rsidRPr="003327EC" w:rsidRDefault="003327EC" w:rsidP="003327EC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4A5D74" w:rsidRPr="003327EC" w:rsidRDefault="004A5D74" w:rsidP="003327E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27EC">
        <w:rPr>
          <w:rFonts w:ascii="Arial" w:hAnsi="Arial" w:cs="Arial"/>
          <w:sz w:val="24"/>
          <w:szCs w:val="24"/>
        </w:rPr>
        <w:t xml:space="preserve">O musical </w:t>
      </w:r>
      <w:r w:rsidR="00E8556D">
        <w:rPr>
          <w:rFonts w:ascii="Arial" w:hAnsi="Arial" w:cs="Arial"/>
          <w:sz w:val="24"/>
          <w:szCs w:val="24"/>
        </w:rPr>
        <w:t>“</w:t>
      </w:r>
      <w:r w:rsidRPr="003327EC">
        <w:rPr>
          <w:rFonts w:ascii="Arial" w:hAnsi="Arial" w:cs="Arial"/>
          <w:sz w:val="24"/>
          <w:szCs w:val="24"/>
        </w:rPr>
        <w:t>Dom Casmurro</w:t>
      </w:r>
      <w:r w:rsidR="00E8556D">
        <w:rPr>
          <w:rFonts w:ascii="Arial" w:hAnsi="Arial" w:cs="Arial"/>
          <w:sz w:val="24"/>
          <w:szCs w:val="24"/>
        </w:rPr>
        <w:t>”</w:t>
      </w:r>
      <w:r w:rsidRPr="003327EC">
        <w:rPr>
          <w:rFonts w:ascii="Arial" w:hAnsi="Arial" w:cs="Arial"/>
          <w:sz w:val="24"/>
          <w:szCs w:val="24"/>
        </w:rPr>
        <w:t>, baseado em um dos livros mais famosos de Machado de Assis, apresenta uma nova temporada gratuita na cidade de São Paulo</w:t>
      </w:r>
      <w:r w:rsidR="00DD323F">
        <w:rPr>
          <w:rFonts w:ascii="Arial" w:hAnsi="Arial" w:cs="Arial"/>
          <w:sz w:val="24"/>
          <w:szCs w:val="24"/>
        </w:rPr>
        <w:t>,</w:t>
      </w:r>
      <w:r w:rsidRPr="003327EC">
        <w:rPr>
          <w:rFonts w:ascii="Arial" w:hAnsi="Arial" w:cs="Arial"/>
          <w:sz w:val="24"/>
          <w:szCs w:val="24"/>
        </w:rPr>
        <w:t xml:space="preserve"> a partir desta quinta-feira (2). Exibido no Itaú Cultural o espetáculo fica em cartaz até o dia 12 de abril.</w:t>
      </w:r>
      <w:r w:rsidRPr="003327EC">
        <w:rPr>
          <w:rFonts w:ascii="Arial" w:hAnsi="Arial" w:cs="Arial"/>
          <w:sz w:val="24"/>
          <w:szCs w:val="24"/>
        </w:rPr>
        <w:fldChar w:fldCharType="begin"/>
      </w:r>
      <w:r w:rsidRPr="003327EC">
        <w:rPr>
          <w:rFonts w:ascii="Arial" w:hAnsi="Arial" w:cs="Arial"/>
          <w:sz w:val="24"/>
          <w:szCs w:val="24"/>
        </w:rPr>
        <w:instrText xml:space="preserve"> INCLUDEPICTURE "https://agenciabrasil.ebc.com.br/ebc.png?id=1684542&amp;o=node" \* MERGEFORMATINET </w:instrText>
      </w:r>
      <w:r w:rsidRPr="003327EC">
        <w:rPr>
          <w:rFonts w:ascii="Arial" w:hAnsi="Arial" w:cs="Arial"/>
          <w:sz w:val="24"/>
          <w:szCs w:val="24"/>
        </w:rPr>
        <w:fldChar w:fldCharType="end"/>
      </w:r>
      <w:r w:rsidRPr="003327EC">
        <w:rPr>
          <w:rFonts w:ascii="Arial" w:hAnsi="Arial" w:cs="Arial"/>
          <w:sz w:val="24"/>
          <w:szCs w:val="24"/>
        </w:rPr>
        <w:fldChar w:fldCharType="begin"/>
      </w:r>
      <w:r w:rsidRPr="003327EC">
        <w:rPr>
          <w:rFonts w:ascii="Arial" w:hAnsi="Arial" w:cs="Arial"/>
          <w:sz w:val="24"/>
          <w:szCs w:val="24"/>
        </w:rPr>
        <w:instrText xml:space="preserve"> INCLUDEPICTURE "https://agenciabrasil.ebc.com.br/ebc.gif?id=1684542&amp;o=node" \* MERGEFORMATINET </w:instrText>
      </w:r>
      <w:r w:rsidRPr="003327EC">
        <w:rPr>
          <w:rFonts w:ascii="Arial" w:hAnsi="Arial" w:cs="Arial"/>
          <w:sz w:val="24"/>
          <w:szCs w:val="24"/>
        </w:rPr>
        <w:fldChar w:fldCharType="end"/>
      </w:r>
    </w:p>
    <w:p w:rsidR="004A5D74" w:rsidRPr="003327EC" w:rsidRDefault="004A5D74" w:rsidP="003327E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27EC">
        <w:rPr>
          <w:rFonts w:ascii="Arial" w:hAnsi="Arial" w:cs="Arial"/>
          <w:sz w:val="24"/>
          <w:szCs w:val="24"/>
        </w:rPr>
        <w:t xml:space="preserve">A história de amor e ciúme entre Bentinho e Capitu é adaptada pelo dramaturgo Davi Novaes que, ao lado do diretor musical Guilherme </w:t>
      </w:r>
      <w:proofErr w:type="spellStart"/>
      <w:r w:rsidRPr="003327EC">
        <w:rPr>
          <w:rFonts w:ascii="Arial" w:hAnsi="Arial" w:cs="Arial"/>
          <w:sz w:val="24"/>
          <w:szCs w:val="24"/>
        </w:rPr>
        <w:t>Gila</w:t>
      </w:r>
      <w:proofErr w:type="spellEnd"/>
      <w:r w:rsidRPr="003327EC">
        <w:rPr>
          <w:rFonts w:ascii="Arial" w:hAnsi="Arial" w:cs="Arial"/>
          <w:sz w:val="24"/>
          <w:szCs w:val="24"/>
        </w:rPr>
        <w:t>, apresenta um espetáculo com trilha sonora ao vivo, transitando entre rock e MPB.</w:t>
      </w:r>
    </w:p>
    <w:p w:rsidR="004A5D74" w:rsidRPr="003327EC" w:rsidRDefault="004A5D74" w:rsidP="003327EC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27EC">
        <w:rPr>
          <w:rFonts w:ascii="Arial" w:hAnsi="Arial" w:cs="Arial"/>
          <w:sz w:val="24"/>
          <w:szCs w:val="24"/>
        </w:rPr>
        <w:t xml:space="preserve">O elenco conta com artistas como Rodrigo Mercadante, Luci </w:t>
      </w:r>
      <w:proofErr w:type="spellStart"/>
      <w:r w:rsidRPr="003327EC">
        <w:rPr>
          <w:rFonts w:ascii="Arial" w:hAnsi="Arial" w:cs="Arial"/>
          <w:sz w:val="24"/>
          <w:szCs w:val="24"/>
        </w:rPr>
        <w:t>Saluzzi</w:t>
      </w:r>
      <w:proofErr w:type="spellEnd"/>
      <w:r w:rsidRPr="003327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27EC">
        <w:rPr>
          <w:rFonts w:ascii="Arial" w:hAnsi="Arial" w:cs="Arial"/>
          <w:sz w:val="24"/>
          <w:szCs w:val="24"/>
        </w:rPr>
        <w:t>Cleomacio</w:t>
      </w:r>
      <w:proofErr w:type="spellEnd"/>
      <w:r w:rsidRPr="003327EC">
        <w:rPr>
          <w:rFonts w:ascii="Arial" w:hAnsi="Arial" w:cs="Arial"/>
          <w:sz w:val="24"/>
          <w:szCs w:val="24"/>
        </w:rPr>
        <w:t xml:space="preserve"> Inácio, Bibi Tolentino, Fábio </w:t>
      </w:r>
      <w:proofErr w:type="spellStart"/>
      <w:r w:rsidRPr="003327EC">
        <w:rPr>
          <w:rFonts w:ascii="Arial" w:hAnsi="Arial" w:cs="Arial"/>
          <w:sz w:val="24"/>
          <w:szCs w:val="24"/>
        </w:rPr>
        <w:t>Enriquez</w:t>
      </w:r>
      <w:proofErr w:type="spellEnd"/>
      <w:r w:rsidRPr="003327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327EC">
        <w:rPr>
          <w:rFonts w:ascii="Arial" w:hAnsi="Arial" w:cs="Arial"/>
          <w:sz w:val="24"/>
          <w:szCs w:val="24"/>
        </w:rPr>
        <w:t>Nábia</w:t>
      </w:r>
      <w:proofErr w:type="spellEnd"/>
      <w:r w:rsidRPr="003327EC">
        <w:rPr>
          <w:rFonts w:ascii="Arial" w:hAnsi="Arial" w:cs="Arial"/>
          <w:sz w:val="24"/>
          <w:szCs w:val="24"/>
        </w:rPr>
        <w:t xml:space="preserve"> Villela e Eduardo Leão. </w:t>
      </w:r>
      <w:r w:rsidR="003327EC">
        <w:rPr>
          <w:rFonts w:ascii="Arial" w:hAnsi="Arial" w:cs="Arial"/>
          <w:sz w:val="24"/>
          <w:szCs w:val="24"/>
        </w:rPr>
        <w:t>[...]</w:t>
      </w:r>
    </w:p>
    <w:p w:rsidR="003327EC" w:rsidRDefault="003327EC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5600A" w:rsidRPr="003327EC" w:rsidRDefault="003327EC" w:rsidP="003327EC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3327EC">
        <w:rPr>
          <w:rFonts w:ascii="Arial" w:eastAsiaTheme="minorHAnsi" w:hAnsi="Arial" w:cs="Arial"/>
          <w:sz w:val="20"/>
          <w:szCs w:val="20"/>
        </w:rPr>
        <w:t>Disponível em: &lt;</w:t>
      </w:r>
      <w:r w:rsidR="004A5D74" w:rsidRPr="003327EC">
        <w:rPr>
          <w:rFonts w:ascii="Arial" w:eastAsiaTheme="minorHAnsi" w:hAnsi="Arial" w:cs="Arial"/>
          <w:sz w:val="20"/>
          <w:szCs w:val="20"/>
        </w:rPr>
        <w:t>https://agenciabrasil.ebc.com.br</w:t>
      </w:r>
      <w:r w:rsidRPr="003327EC">
        <w:rPr>
          <w:rFonts w:ascii="Arial" w:eastAsiaTheme="minorHAnsi" w:hAnsi="Arial" w:cs="Arial"/>
          <w:sz w:val="20"/>
          <w:szCs w:val="20"/>
        </w:rPr>
        <w:t>&gt;. (Fragmento).</w:t>
      </w:r>
    </w:p>
    <w:p w:rsidR="0014381B" w:rsidRPr="003327EC" w:rsidRDefault="0014381B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5600A" w:rsidRPr="003327EC" w:rsidRDefault="00E5600A" w:rsidP="00D47266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3327EC">
        <w:rPr>
          <w:rFonts w:ascii="Arial" w:eastAsiaTheme="minorHAnsi" w:hAnsi="Arial" w:cs="Arial"/>
          <w:b/>
          <w:sz w:val="24"/>
          <w:szCs w:val="24"/>
        </w:rPr>
        <w:t>Questão 1 –</w:t>
      </w:r>
      <w:r w:rsidR="00D47266" w:rsidRPr="00D47266">
        <w:rPr>
          <w:rFonts w:ascii="Arial" w:hAnsi="Arial" w:cs="Arial"/>
          <w:sz w:val="24"/>
          <w:szCs w:val="24"/>
        </w:rPr>
        <w:t xml:space="preserve"> </w:t>
      </w:r>
      <w:r w:rsidR="0033513F">
        <w:rPr>
          <w:rFonts w:ascii="Arial" w:hAnsi="Arial" w:cs="Arial"/>
          <w:sz w:val="24"/>
          <w:szCs w:val="24"/>
        </w:rPr>
        <w:t>Em</w:t>
      </w:r>
      <w:r w:rsidR="00D47266">
        <w:rPr>
          <w:rFonts w:ascii="Arial" w:hAnsi="Arial" w:cs="Arial"/>
          <w:sz w:val="24"/>
          <w:szCs w:val="24"/>
        </w:rPr>
        <w:t xml:space="preserve"> “</w:t>
      </w:r>
      <w:r w:rsidR="00D47266" w:rsidRPr="003327EC">
        <w:rPr>
          <w:rFonts w:ascii="Arial" w:hAnsi="Arial" w:cs="Arial"/>
          <w:sz w:val="24"/>
          <w:szCs w:val="24"/>
        </w:rPr>
        <w:t xml:space="preserve">O musical </w:t>
      </w:r>
      <w:r w:rsidR="00D47266">
        <w:rPr>
          <w:rFonts w:ascii="Arial" w:hAnsi="Arial" w:cs="Arial"/>
          <w:sz w:val="24"/>
          <w:szCs w:val="24"/>
        </w:rPr>
        <w:t>‘</w:t>
      </w:r>
      <w:r w:rsidR="00D47266" w:rsidRPr="003327EC">
        <w:rPr>
          <w:rFonts w:ascii="Arial" w:hAnsi="Arial" w:cs="Arial"/>
          <w:sz w:val="24"/>
          <w:szCs w:val="24"/>
        </w:rPr>
        <w:t>Dom Casmurro</w:t>
      </w:r>
      <w:r w:rsidR="00D47266">
        <w:rPr>
          <w:rFonts w:ascii="Arial" w:hAnsi="Arial" w:cs="Arial"/>
          <w:sz w:val="24"/>
          <w:szCs w:val="24"/>
        </w:rPr>
        <w:t>’</w:t>
      </w:r>
      <w:r w:rsidR="00D47266" w:rsidRPr="003327EC">
        <w:rPr>
          <w:rFonts w:ascii="Arial" w:hAnsi="Arial" w:cs="Arial"/>
          <w:sz w:val="24"/>
          <w:szCs w:val="24"/>
        </w:rPr>
        <w:t>, baseado em um dos livros mais famosos de Machado de Assis, apresenta uma nova temporada gratuita</w:t>
      </w:r>
      <w:r w:rsidR="00D47266">
        <w:rPr>
          <w:rFonts w:ascii="Arial" w:hAnsi="Arial" w:cs="Arial"/>
          <w:sz w:val="24"/>
          <w:szCs w:val="24"/>
        </w:rPr>
        <w:t xml:space="preserve"> [...]”, as vírgulas </w:t>
      </w:r>
      <w:r w:rsidR="002466F4">
        <w:rPr>
          <w:rFonts w:ascii="Arial" w:hAnsi="Arial" w:cs="Arial"/>
          <w:sz w:val="24"/>
          <w:szCs w:val="24"/>
        </w:rPr>
        <w:t>são:</w:t>
      </w:r>
    </w:p>
    <w:p w:rsidR="002466F4" w:rsidRPr="003327EC" w:rsidRDefault="002466F4" w:rsidP="002466F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proibidas. </w:t>
      </w:r>
    </w:p>
    <w:p w:rsidR="002466F4" w:rsidRPr="003327EC" w:rsidRDefault="002466F4" w:rsidP="002466F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facultativas. </w:t>
      </w:r>
    </w:p>
    <w:p w:rsidR="00E5600A" w:rsidRPr="003327EC" w:rsidRDefault="00E5600A" w:rsidP="002466F4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sz w:val="24"/>
          <w:szCs w:val="24"/>
        </w:rPr>
        <w:t>(     )</w:t>
      </w:r>
      <w:r w:rsidR="00D47266">
        <w:rPr>
          <w:rFonts w:ascii="Arial" w:eastAsiaTheme="minorHAnsi" w:hAnsi="Arial" w:cs="Arial"/>
          <w:sz w:val="24"/>
          <w:szCs w:val="24"/>
        </w:rPr>
        <w:t xml:space="preserve"> </w:t>
      </w:r>
      <w:r w:rsidR="002466F4">
        <w:rPr>
          <w:rFonts w:ascii="Arial" w:eastAsiaTheme="minorHAnsi" w:hAnsi="Arial" w:cs="Arial"/>
          <w:sz w:val="24"/>
          <w:szCs w:val="24"/>
        </w:rPr>
        <w:t xml:space="preserve">obrigatórias. </w:t>
      </w:r>
    </w:p>
    <w:p w:rsidR="00EC0C05" w:rsidRPr="003327EC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3327EC" w:rsidRDefault="00EC0C05" w:rsidP="003327E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3327E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07883">
        <w:rPr>
          <w:rFonts w:ascii="Arial" w:eastAsiaTheme="minorHAnsi" w:hAnsi="Arial" w:cs="Arial"/>
          <w:b/>
          <w:sz w:val="24"/>
          <w:szCs w:val="24"/>
        </w:rPr>
        <w:t>2</w:t>
      </w:r>
      <w:r w:rsidRPr="003327E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811D0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811D00" w:rsidRPr="00811D00">
        <w:rPr>
          <w:rFonts w:ascii="Arial" w:eastAsiaTheme="minorHAnsi" w:hAnsi="Arial" w:cs="Arial"/>
          <w:sz w:val="24"/>
          <w:szCs w:val="24"/>
        </w:rPr>
        <w:t>Est</w:t>
      </w:r>
      <w:r w:rsidR="00291394">
        <w:rPr>
          <w:rFonts w:ascii="Arial" w:eastAsiaTheme="minorHAnsi" w:hAnsi="Arial" w:cs="Arial"/>
          <w:sz w:val="24"/>
          <w:szCs w:val="24"/>
        </w:rPr>
        <w:t>a frase</w:t>
      </w:r>
      <w:r w:rsidR="00811D00" w:rsidRPr="00811D00">
        <w:rPr>
          <w:rFonts w:ascii="Arial" w:eastAsiaTheme="minorHAnsi" w:hAnsi="Arial" w:cs="Arial"/>
          <w:sz w:val="24"/>
          <w:szCs w:val="24"/>
        </w:rPr>
        <w:t xml:space="preserve"> foi transcrit</w:t>
      </w:r>
      <w:r w:rsidR="00291394">
        <w:rPr>
          <w:rFonts w:ascii="Arial" w:eastAsiaTheme="minorHAnsi" w:hAnsi="Arial" w:cs="Arial"/>
          <w:sz w:val="24"/>
          <w:szCs w:val="24"/>
        </w:rPr>
        <w:t>a</w:t>
      </w:r>
      <w:r w:rsidR="00811D00" w:rsidRPr="00811D00">
        <w:rPr>
          <w:rFonts w:ascii="Arial" w:eastAsiaTheme="minorHAnsi" w:hAnsi="Arial" w:cs="Arial"/>
          <w:sz w:val="24"/>
          <w:szCs w:val="24"/>
        </w:rPr>
        <w:t xml:space="preserve"> sem a vírgula. Coloque-a:</w:t>
      </w:r>
    </w:p>
    <w:p w:rsidR="00EC0C05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811D00" w:rsidRPr="003327EC" w:rsidRDefault="00811D00" w:rsidP="00811D00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3327EC">
        <w:rPr>
          <w:rFonts w:ascii="Arial" w:hAnsi="Arial" w:cs="Arial"/>
          <w:sz w:val="24"/>
          <w:szCs w:val="24"/>
        </w:rPr>
        <w:t>Exibido no Itaú Cultural o espetáculo fica em cartaz até o dia 12 de abril.</w:t>
      </w:r>
      <w:r>
        <w:rPr>
          <w:rFonts w:ascii="Arial" w:hAnsi="Arial" w:cs="Arial"/>
          <w:sz w:val="24"/>
          <w:szCs w:val="24"/>
        </w:rPr>
        <w:t>”</w:t>
      </w:r>
      <w:r w:rsidRPr="003327EC">
        <w:rPr>
          <w:rFonts w:ascii="Arial" w:hAnsi="Arial" w:cs="Arial"/>
          <w:sz w:val="24"/>
          <w:szCs w:val="24"/>
        </w:rPr>
        <w:fldChar w:fldCharType="begin"/>
      </w:r>
      <w:r w:rsidRPr="003327EC">
        <w:rPr>
          <w:rFonts w:ascii="Arial" w:hAnsi="Arial" w:cs="Arial"/>
          <w:sz w:val="24"/>
          <w:szCs w:val="24"/>
        </w:rPr>
        <w:instrText xml:space="preserve"> INCLUDEPICTURE "https://agenciabrasil.ebc.com.br/ebc.png?id=1684542&amp;o=node" \* MERGEFORMATINET </w:instrText>
      </w:r>
      <w:r w:rsidRPr="003327EC">
        <w:rPr>
          <w:rFonts w:ascii="Arial" w:hAnsi="Arial" w:cs="Arial"/>
          <w:sz w:val="24"/>
          <w:szCs w:val="24"/>
        </w:rPr>
        <w:fldChar w:fldCharType="end"/>
      </w:r>
      <w:r w:rsidRPr="003327EC">
        <w:rPr>
          <w:rFonts w:ascii="Arial" w:hAnsi="Arial" w:cs="Arial"/>
          <w:sz w:val="24"/>
          <w:szCs w:val="24"/>
        </w:rPr>
        <w:fldChar w:fldCharType="begin"/>
      </w:r>
      <w:r w:rsidRPr="003327EC">
        <w:rPr>
          <w:rFonts w:ascii="Arial" w:hAnsi="Arial" w:cs="Arial"/>
          <w:sz w:val="24"/>
          <w:szCs w:val="24"/>
        </w:rPr>
        <w:instrText xml:space="preserve"> INCLUDEPICTURE "https://agenciabrasil.ebc.com.br/ebc.gif?id=1684542&amp;o=node" \* MERGEFORMATINET </w:instrText>
      </w:r>
      <w:r w:rsidRPr="003327EC">
        <w:rPr>
          <w:rFonts w:ascii="Arial" w:hAnsi="Arial" w:cs="Arial"/>
          <w:sz w:val="24"/>
          <w:szCs w:val="24"/>
        </w:rPr>
        <w:fldChar w:fldCharType="end"/>
      </w:r>
    </w:p>
    <w:p w:rsidR="00811D00" w:rsidRPr="003327EC" w:rsidRDefault="00811D00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3327EC" w:rsidRDefault="00EC0C05" w:rsidP="00D132C7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3327E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07883">
        <w:rPr>
          <w:rFonts w:ascii="Arial" w:eastAsiaTheme="minorHAnsi" w:hAnsi="Arial" w:cs="Arial"/>
          <w:b/>
          <w:sz w:val="24"/>
          <w:szCs w:val="24"/>
        </w:rPr>
        <w:t>3</w:t>
      </w:r>
      <w:r w:rsidRPr="003327E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F73EC0" w:rsidRPr="00F73EC0">
        <w:rPr>
          <w:rFonts w:ascii="Arial" w:hAnsi="Arial" w:cs="Arial"/>
          <w:sz w:val="24"/>
          <w:szCs w:val="24"/>
        </w:rPr>
        <w:t xml:space="preserve"> </w:t>
      </w:r>
      <w:r w:rsidR="0033513F">
        <w:rPr>
          <w:rFonts w:ascii="Arial" w:hAnsi="Arial" w:cs="Arial"/>
          <w:sz w:val="24"/>
          <w:szCs w:val="24"/>
        </w:rPr>
        <w:t>No trecho</w:t>
      </w:r>
      <w:r w:rsidR="00D132C7">
        <w:rPr>
          <w:rFonts w:ascii="Arial" w:hAnsi="Arial" w:cs="Arial"/>
          <w:sz w:val="24"/>
          <w:szCs w:val="24"/>
        </w:rPr>
        <w:t xml:space="preserve"> “</w:t>
      </w:r>
      <w:r w:rsidR="00F73EC0" w:rsidRPr="003327EC">
        <w:rPr>
          <w:rFonts w:ascii="Arial" w:hAnsi="Arial" w:cs="Arial"/>
          <w:sz w:val="24"/>
          <w:szCs w:val="24"/>
        </w:rPr>
        <w:t>A história de amor e ciúme</w:t>
      </w:r>
      <w:r w:rsidR="00D132C7">
        <w:rPr>
          <w:rFonts w:ascii="Arial" w:hAnsi="Arial" w:cs="Arial"/>
          <w:sz w:val="24"/>
          <w:szCs w:val="24"/>
        </w:rPr>
        <w:t xml:space="preserve"> [...]</w:t>
      </w:r>
      <w:r w:rsidR="00F73EC0" w:rsidRPr="003327EC">
        <w:rPr>
          <w:rFonts w:ascii="Arial" w:hAnsi="Arial" w:cs="Arial"/>
          <w:sz w:val="24"/>
          <w:szCs w:val="24"/>
        </w:rPr>
        <w:t xml:space="preserve"> é adaptada pelo </w:t>
      </w:r>
      <w:bookmarkStart w:id="0" w:name="_GoBack"/>
      <w:r w:rsidR="00F73EC0" w:rsidRPr="003327EC">
        <w:rPr>
          <w:rFonts w:ascii="Arial" w:hAnsi="Arial" w:cs="Arial"/>
          <w:sz w:val="24"/>
          <w:szCs w:val="24"/>
        </w:rPr>
        <w:t xml:space="preserve">dramaturgo Davi Novaes que, ao lado do diretor musical Guilherme </w:t>
      </w:r>
      <w:proofErr w:type="spellStart"/>
      <w:r w:rsidR="00F73EC0" w:rsidRPr="003327EC">
        <w:rPr>
          <w:rFonts w:ascii="Arial" w:hAnsi="Arial" w:cs="Arial"/>
          <w:sz w:val="24"/>
          <w:szCs w:val="24"/>
        </w:rPr>
        <w:t>Gila</w:t>
      </w:r>
      <w:proofErr w:type="spellEnd"/>
      <w:r w:rsidR="00F73EC0" w:rsidRPr="003327EC">
        <w:rPr>
          <w:rFonts w:ascii="Arial" w:hAnsi="Arial" w:cs="Arial"/>
          <w:sz w:val="24"/>
          <w:szCs w:val="24"/>
        </w:rPr>
        <w:t>, apresenta um</w:t>
      </w:r>
      <w:r w:rsidR="00D132C7">
        <w:rPr>
          <w:rFonts w:ascii="Arial" w:hAnsi="Arial" w:cs="Arial"/>
          <w:sz w:val="24"/>
          <w:szCs w:val="24"/>
        </w:rPr>
        <w:t xml:space="preserve"> espetáculo [...]”, as vírg</w:t>
      </w:r>
      <w:bookmarkEnd w:id="0"/>
      <w:r w:rsidR="00D132C7">
        <w:rPr>
          <w:rFonts w:ascii="Arial" w:hAnsi="Arial" w:cs="Arial"/>
          <w:sz w:val="24"/>
          <w:szCs w:val="24"/>
        </w:rPr>
        <w:t>ulas:</w:t>
      </w:r>
    </w:p>
    <w:p w:rsidR="00EC0C05" w:rsidRPr="003327EC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sz w:val="24"/>
          <w:szCs w:val="24"/>
        </w:rPr>
        <w:t xml:space="preserve">(   </w:t>
      </w:r>
      <w:r w:rsidR="00FA5FBB">
        <w:rPr>
          <w:rFonts w:ascii="Arial" w:eastAsiaTheme="minorHAnsi" w:hAnsi="Arial" w:cs="Arial"/>
          <w:sz w:val="24"/>
          <w:szCs w:val="24"/>
        </w:rPr>
        <w:t xml:space="preserve">  ) isolam </w:t>
      </w:r>
      <w:r w:rsidR="00BE6975">
        <w:rPr>
          <w:rFonts w:ascii="Arial" w:eastAsiaTheme="minorHAnsi" w:hAnsi="Arial" w:cs="Arial"/>
          <w:sz w:val="24"/>
          <w:szCs w:val="24"/>
        </w:rPr>
        <w:t xml:space="preserve">um vocativo. </w:t>
      </w:r>
    </w:p>
    <w:p w:rsidR="00EC0C05" w:rsidRPr="003327EC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sz w:val="24"/>
          <w:szCs w:val="24"/>
        </w:rPr>
        <w:t>(     )</w:t>
      </w:r>
      <w:r w:rsidR="00FA5FBB">
        <w:rPr>
          <w:rFonts w:ascii="Arial" w:eastAsiaTheme="minorHAnsi" w:hAnsi="Arial" w:cs="Arial"/>
          <w:sz w:val="24"/>
          <w:szCs w:val="24"/>
        </w:rPr>
        <w:t xml:space="preserve"> indicam uma intercalação. </w:t>
      </w:r>
    </w:p>
    <w:p w:rsidR="00EC0C05" w:rsidRPr="003327EC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sz w:val="24"/>
          <w:szCs w:val="24"/>
        </w:rPr>
        <w:t>(     )</w:t>
      </w:r>
      <w:r w:rsidR="009B7903">
        <w:rPr>
          <w:rFonts w:ascii="Arial" w:eastAsiaTheme="minorHAnsi" w:hAnsi="Arial" w:cs="Arial"/>
          <w:sz w:val="24"/>
          <w:szCs w:val="24"/>
        </w:rPr>
        <w:t xml:space="preserve"> </w:t>
      </w:r>
      <w:r w:rsidR="00BE6975">
        <w:rPr>
          <w:rFonts w:ascii="Arial" w:eastAsiaTheme="minorHAnsi" w:hAnsi="Arial" w:cs="Arial"/>
          <w:sz w:val="24"/>
          <w:szCs w:val="24"/>
        </w:rPr>
        <w:t xml:space="preserve">separam um adjunto adverbial. </w:t>
      </w:r>
    </w:p>
    <w:p w:rsidR="00EC0C05" w:rsidRPr="003327EC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F73EC0" w:rsidRDefault="00EC0C05" w:rsidP="00F73EC0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07883">
        <w:rPr>
          <w:rFonts w:ascii="Arial" w:eastAsiaTheme="minorHAnsi" w:hAnsi="Arial" w:cs="Arial"/>
          <w:b/>
          <w:sz w:val="24"/>
          <w:szCs w:val="24"/>
        </w:rPr>
        <w:t>4</w:t>
      </w:r>
      <w:r w:rsidRPr="003327E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F73EC0" w:rsidRPr="00F73EC0">
        <w:rPr>
          <w:rFonts w:ascii="Arial" w:hAnsi="Arial" w:cs="Arial"/>
          <w:sz w:val="24"/>
          <w:szCs w:val="24"/>
        </w:rPr>
        <w:t xml:space="preserve"> </w:t>
      </w:r>
      <w:r w:rsidR="00E53152">
        <w:rPr>
          <w:rFonts w:ascii="Arial" w:hAnsi="Arial" w:cs="Arial"/>
          <w:sz w:val="24"/>
          <w:szCs w:val="24"/>
        </w:rPr>
        <w:t>No segmento</w:t>
      </w:r>
      <w:r w:rsidR="00F73EC0">
        <w:rPr>
          <w:rFonts w:ascii="Arial" w:hAnsi="Arial" w:cs="Arial"/>
          <w:sz w:val="24"/>
          <w:szCs w:val="24"/>
        </w:rPr>
        <w:t xml:space="preserve"> “[...] </w:t>
      </w:r>
      <w:r w:rsidR="00F73EC0" w:rsidRPr="003327EC">
        <w:rPr>
          <w:rFonts w:ascii="Arial" w:hAnsi="Arial" w:cs="Arial"/>
          <w:sz w:val="24"/>
          <w:szCs w:val="24"/>
        </w:rPr>
        <w:t>com trilha sonora ao vivo, transitando entre rock e MPB.</w:t>
      </w:r>
      <w:r w:rsidR="00F73EC0">
        <w:rPr>
          <w:rFonts w:ascii="Arial" w:hAnsi="Arial" w:cs="Arial"/>
          <w:sz w:val="24"/>
          <w:szCs w:val="24"/>
        </w:rPr>
        <w:t>”, a vírgula antecede um verbo na forma de:</w:t>
      </w:r>
    </w:p>
    <w:p w:rsidR="00EC0C05" w:rsidRDefault="00F73EC0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F73EC0" w:rsidRPr="003327EC" w:rsidRDefault="00F73EC0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C0C05" w:rsidRPr="00D60BF6" w:rsidRDefault="00EC0C05" w:rsidP="003327EC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3327EC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07883">
        <w:rPr>
          <w:rFonts w:ascii="Arial" w:eastAsiaTheme="minorHAnsi" w:hAnsi="Arial" w:cs="Arial"/>
          <w:b/>
          <w:sz w:val="24"/>
          <w:szCs w:val="24"/>
        </w:rPr>
        <w:t>5</w:t>
      </w:r>
      <w:r w:rsidRPr="003327EC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D60BF6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D60BF6" w:rsidRPr="00D60BF6">
        <w:rPr>
          <w:rFonts w:ascii="Arial" w:eastAsiaTheme="minorHAnsi" w:hAnsi="Arial" w:cs="Arial"/>
          <w:sz w:val="24"/>
          <w:szCs w:val="24"/>
        </w:rPr>
        <w:t>Releia o último período. Informe a finalidade das vírgulas nessa parte do texto:</w:t>
      </w:r>
    </w:p>
    <w:p w:rsidR="00D132C7" w:rsidRDefault="00D132C7" w:rsidP="00D132C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F3E1A" w:rsidRDefault="003F3E1A" w:rsidP="003F3E1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D132C7" w:rsidRPr="003327EC" w:rsidRDefault="00D132C7" w:rsidP="00D132C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132C7" w:rsidRPr="003327EC" w:rsidRDefault="00D132C7" w:rsidP="003327EC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sectPr w:rsidR="00D132C7" w:rsidRPr="003327EC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3A637B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224D"/>
    <w:rsid w:val="000823C7"/>
    <w:rsid w:val="00083E76"/>
    <w:rsid w:val="00083E8C"/>
    <w:rsid w:val="000844BC"/>
    <w:rsid w:val="00084CAD"/>
    <w:rsid w:val="000862D8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2F46"/>
    <w:rsid w:val="000E38E9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3938"/>
    <w:rsid w:val="00123B6C"/>
    <w:rsid w:val="001356C7"/>
    <w:rsid w:val="00143568"/>
    <w:rsid w:val="0014381B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66F4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1394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121C7"/>
    <w:rsid w:val="0031446D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513F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666"/>
    <w:rsid w:val="00372AE2"/>
    <w:rsid w:val="00373251"/>
    <w:rsid w:val="00374225"/>
    <w:rsid w:val="0037455C"/>
    <w:rsid w:val="00381F30"/>
    <w:rsid w:val="003851D4"/>
    <w:rsid w:val="003876BA"/>
    <w:rsid w:val="00390363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826"/>
    <w:rsid w:val="003A637B"/>
    <w:rsid w:val="003A64FE"/>
    <w:rsid w:val="003B3911"/>
    <w:rsid w:val="003B3CF8"/>
    <w:rsid w:val="003C293B"/>
    <w:rsid w:val="003C6FA7"/>
    <w:rsid w:val="003C776B"/>
    <w:rsid w:val="003D213B"/>
    <w:rsid w:val="003D2373"/>
    <w:rsid w:val="003D339A"/>
    <w:rsid w:val="003D4A55"/>
    <w:rsid w:val="003F3E1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687D"/>
    <w:rsid w:val="004904CB"/>
    <w:rsid w:val="00490852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1831"/>
    <w:rsid w:val="004E231B"/>
    <w:rsid w:val="004E3CFB"/>
    <w:rsid w:val="004E4D16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6AF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DB"/>
    <w:rsid w:val="00627DF4"/>
    <w:rsid w:val="00630AC3"/>
    <w:rsid w:val="00631B66"/>
    <w:rsid w:val="00632EE2"/>
    <w:rsid w:val="00636B26"/>
    <w:rsid w:val="00636C30"/>
    <w:rsid w:val="00643B96"/>
    <w:rsid w:val="00645A86"/>
    <w:rsid w:val="006476B5"/>
    <w:rsid w:val="00647B8D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25CE"/>
    <w:rsid w:val="00692FDF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6EB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2792"/>
    <w:rsid w:val="008B3683"/>
    <w:rsid w:val="008B4C28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901117"/>
    <w:rsid w:val="00902D07"/>
    <w:rsid w:val="00903950"/>
    <w:rsid w:val="00904999"/>
    <w:rsid w:val="00912A07"/>
    <w:rsid w:val="00913752"/>
    <w:rsid w:val="00913854"/>
    <w:rsid w:val="00914C10"/>
    <w:rsid w:val="00921E67"/>
    <w:rsid w:val="00930ACD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B6462"/>
    <w:rsid w:val="009B7903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9101E"/>
    <w:rsid w:val="00A9128F"/>
    <w:rsid w:val="00A93929"/>
    <w:rsid w:val="00AB224F"/>
    <w:rsid w:val="00AB4679"/>
    <w:rsid w:val="00AB7801"/>
    <w:rsid w:val="00AC203D"/>
    <w:rsid w:val="00AC2BDE"/>
    <w:rsid w:val="00AC76A5"/>
    <w:rsid w:val="00AD1175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45F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E6975"/>
    <w:rsid w:val="00BF241D"/>
    <w:rsid w:val="00BF2AD7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175B"/>
    <w:rsid w:val="00CC2C8B"/>
    <w:rsid w:val="00CD0C66"/>
    <w:rsid w:val="00CD0D71"/>
    <w:rsid w:val="00CD0DF7"/>
    <w:rsid w:val="00CD246A"/>
    <w:rsid w:val="00CD64D7"/>
    <w:rsid w:val="00CE48BF"/>
    <w:rsid w:val="00CE759F"/>
    <w:rsid w:val="00D03A16"/>
    <w:rsid w:val="00D03B00"/>
    <w:rsid w:val="00D04561"/>
    <w:rsid w:val="00D07286"/>
    <w:rsid w:val="00D132C7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A6B"/>
    <w:rsid w:val="00D3367D"/>
    <w:rsid w:val="00D34761"/>
    <w:rsid w:val="00D34EB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0BF6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55BD"/>
    <w:rsid w:val="00E115B1"/>
    <w:rsid w:val="00E1255A"/>
    <w:rsid w:val="00E13C0B"/>
    <w:rsid w:val="00E17B3B"/>
    <w:rsid w:val="00E206F0"/>
    <w:rsid w:val="00E214EC"/>
    <w:rsid w:val="00E24034"/>
    <w:rsid w:val="00E26BED"/>
    <w:rsid w:val="00E30B38"/>
    <w:rsid w:val="00E31380"/>
    <w:rsid w:val="00E315D4"/>
    <w:rsid w:val="00E31E7E"/>
    <w:rsid w:val="00E33DDA"/>
    <w:rsid w:val="00E40DFF"/>
    <w:rsid w:val="00E53152"/>
    <w:rsid w:val="00E54EA1"/>
    <w:rsid w:val="00E5600A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7883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073F"/>
    <w:rsid w:val="00F46072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3EC0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90069"/>
    <w:rsid w:val="00F92B06"/>
    <w:rsid w:val="00F95DE7"/>
    <w:rsid w:val="00FA1507"/>
    <w:rsid w:val="00FA3F51"/>
    <w:rsid w:val="00FA4972"/>
    <w:rsid w:val="00FA5FBB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51D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29</cp:revision>
  <dcterms:created xsi:type="dcterms:W3CDTF">2026-04-02T22:21:00Z</dcterms:created>
  <dcterms:modified xsi:type="dcterms:W3CDTF">2026-04-02T23:10:00Z</dcterms:modified>
</cp:coreProperties>
</file>