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05465A" w:rsidRPr="00FD5DDA" w:rsidRDefault="00FD5DDA" w:rsidP="00FD5DDA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FD5DDA">
        <w:rPr>
          <w:rFonts w:ascii="Verdana" w:hAnsi="Verdana" w:cs="Arial"/>
          <w:b/>
          <w:sz w:val="32"/>
          <w:szCs w:val="32"/>
        </w:rPr>
        <w:t>POPULAÇÃO</w:t>
      </w:r>
      <w:r>
        <w:rPr>
          <w:rFonts w:ascii="Verdana" w:hAnsi="Verdana" w:cs="Arial"/>
          <w:b/>
          <w:sz w:val="32"/>
          <w:szCs w:val="32"/>
        </w:rPr>
        <w:t xml:space="preserve"> BRASILEIRA</w:t>
      </w:r>
    </w:p>
    <w:p w:rsidR="005C1AE3" w:rsidRDefault="005C1AE3" w:rsidP="00FD5DD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FD5DDA" w:rsidRPr="00FD5DDA" w:rsidRDefault="00FD5DDA" w:rsidP="00FD5DD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D5DDA">
        <w:rPr>
          <w:rFonts w:ascii="Verdana" w:hAnsi="Verdana" w:cs="Arial"/>
          <w:b/>
          <w:szCs w:val="24"/>
        </w:rPr>
        <w:t>Distribuição da população</w:t>
      </w:r>
    </w:p>
    <w:p w:rsidR="0005465A" w:rsidRDefault="0005465A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Segundo o IBGE (Instituto Brasileiro de Geografia e Estatística), em 2015 a população brasileira era </w:t>
      </w:r>
      <w:r w:rsidR="00FD5DDA">
        <w:rPr>
          <w:rFonts w:ascii="Verdana" w:hAnsi="Verdana" w:cs="Arial"/>
          <w:szCs w:val="24"/>
        </w:rPr>
        <w:t>de aproximadamente</w:t>
      </w:r>
      <w:r>
        <w:rPr>
          <w:rFonts w:ascii="Verdana" w:hAnsi="Verdana" w:cs="Arial"/>
          <w:szCs w:val="24"/>
        </w:rPr>
        <w:t xml:space="preserve"> 205 milhões de habitantes.</w:t>
      </w:r>
    </w:p>
    <w:p w:rsidR="0005465A" w:rsidRDefault="0005465A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Brasil é o quinto país mais populoso do mundo. Porém é considerado um país pouco povoado, por sua densidade demográfica ser baixa, 24 habitantes por quilômetro quadrado (</w:t>
      </w:r>
      <w:proofErr w:type="spellStart"/>
      <w:r>
        <w:rPr>
          <w:rFonts w:ascii="Verdana" w:hAnsi="Verdana" w:cs="Arial"/>
          <w:szCs w:val="24"/>
        </w:rPr>
        <w:t>hab</w:t>
      </w:r>
      <w:proofErr w:type="spellEnd"/>
      <w:r>
        <w:rPr>
          <w:rFonts w:ascii="Verdana" w:hAnsi="Verdana" w:cs="Arial"/>
          <w:szCs w:val="24"/>
        </w:rPr>
        <w:t>/Km</w:t>
      </w:r>
      <w:r w:rsidRPr="0005465A">
        <w:rPr>
          <w:rFonts w:ascii="Verdana" w:hAnsi="Verdana" w:cs="Arial"/>
          <w:szCs w:val="24"/>
          <w:vertAlign w:val="superscript"/>
        </w:rPr>
        <w:t>2</w:t>
      </w:r>
      <w:proofErr w:type="gramStart"/>
      <w:r>
        <w:rPr>
          <w:rFonts w:ascii="Verdana" w:hAnsi="Verdana" w:cs="Arial"/>
          <w:szCs w:val="24"/>
        </w:rPr>
        <w:t>)</w:t>
      </w:r>
      <w:proofErr w:type="gramEnd"/>
    </w:p>
    <w:p w:rsidR="0005465A" w:rsidRDefault="0005465A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 distribuição da população não ocorre de maneira regular, como podemos observar no gráfico abaixo:</w:t>
      </w:r>
    </w:p>
    <w:p w:rsidR="005C1AE3" w:rsidRDefault="005C1AE3" w:rsidP="00C54928">
      <w:pPr>
        <w:spacing w:after="0" w:line="360" w:lineRule="auto"/>
        <w:rPr>
          <w:rFonts w:ascii="Verdana" w:hAnsi="Verdana" w:cs="Arial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951"/>
        <w:gridCol w:w="1764"/>
        <w:gridCol w:w="1780"/>
        <w:gridCol w:w="1895"/>
      </w:tblGrid>
      <w:tr w:rsidR="0005465A" w:rsidRPr="0005465A" w:rsidTr="00FD5DDA">
        <w:trPr>
          <w:jc w:val="center"/>
        </w:trPr>
        <w:tc>
          <w:tcPr>
            <w:tcW w:w="7390" w:type="dxa"/>
            <w:gridSpan w:val="4"/>
            <w:vAlign w:val="bottom"/>
          </w:tcPr>
          <w:p w:rsidR="0005465A" w:rsidRPr="0005465A" w:rsidRDefault="0005465A" w:rsidP="00FD5DDA">
            <w:pPr>
              <w:spacing w:after="0"/>
              <w:jc w:val="center"/>
              <w:rPr>
                <w:rFonts w:ascii="Verdana" w:hAnsi="Verdana" w:cs="Arial"/>
                <w:b/>
                <w:szCs w:val="24"/>
              </w:rPr>
            </w:pPr>
            <w:r w:rsidRPr="0005465A">
              <w:rPr>
                <w:rFonts w:ascii="Verdana" w:hAnsi="Verdana" w:cs="Arial"/>
                <w:b/>
                <w:szCs w:val="24"/>
              </w:rPr>
              <w:t>População, área e densidade demográfica do Brasil e das regiões (2015</w:t>
            </w:r>
            <w:proofErr w:type="gramStart"/>
            <w:r w:rsidRPr="0005465A">
              <w:rPr>
                <w:rFonts w:ascii="Verdana" w:hAnsi="Verdana" w:cs="Arial"/>
                <w:b/>
                <w:szCs w:val="24"/>
              </w:rPr>
              <w:t>)</w:t>
            </w:r>
            <w:proofErr w:type="gramEnd"/>
          </w:p>
        </w:tc>
      </w:tr>
      <w:tr w:rsidR="0005465A" w:rsidRPr="00FD5DDA" w:rsidTr="00FD5DDA">
        <w:trPr>
          <w:jc w:val="center"/>
        </w:trPr>
        <w:tc>
          <w:tcPr>
            <w:tcW w:w="1951" w:type="dxa"/>
            <w:vAlign w:val="center"/>
          </w:tcPr>
          <w:p w:rsidR="0005465A" w:rsidRPr="00FD5DDA" w:rsidRDefault="0005465A" w:rsidP="00FD5DDA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 w:rsidRPr="00FD5DDA">
              <w:rPr>
                <w:rFonts w:ascii="Verdana" w:hAnsi="Verdana" w:cs="Arial"/>
                <w:szCs w:val="24"/>
              </w:rPr>
              <w:t>Regiões</w:t>
            </w:r>
          </w:p>
        </w:tc>
        <w:tc>
          <w:tcPr>
            <w:tcW w:w="1764" w:type="dxa"/>
            <w:vAlign w:val="center"/>
          </w:tcPr>
          <w:p w:rsidR="0005465A" w:rsidRPr="00FD5DDA" w:rsidRDefault="0005465A" w:rsidP="00FD5DDA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 w:rsidRPr="00FD5DDA">
              <w:rPr>
                <w:rFonts w:ascii="Verdana" w:hAnsi="Verdana" w:cs="Arial"/>
                <w:szCs w:val="24"/>
              </w:rPr>
              <w:t>População</w:t>
            </w:r>
          </w:p>
        </w:tc>
        <w:tc>
          <w:tcPr>
            <w:tcW w:w="1780" w:type="dxa"/>
            <w:vAlign w:val="center"/>
          </w:tcPr>
          <w:p w:rsidR="0005465A" w:rsidRPr="00FD5DDA" w:rsidRDefault="0005465A" w:rsidP="00FD5DDA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 w:rsidRPr="00FD5DDA">
              <w:rPr>
                <w:rFonts w:ascii="Verdana" w:hAnsi="Verdana" w:cs="Arial"/>
                <w:szCs w:val="24"/>
              </w:rPr>
              <w:t>Área (km</w:t>
            </w:r>
            <w:r w:rsidRPr="00FD5DDA">
              <w:rPr>
                <w:rFonts w:ascii="Verdana" w:hAnsi="Verdana" w:cs="Arial"/>
                <w:szCs w:val="24"/>
                <w:vertAlign w:val="superscript"/>
              </w:rPr>
              <w:t>2</w:t>
            </w:r>
            <w:r w:rsidRPr="00FD5DDA">
              <w:rPr>
                <w:rFonts w:ascii="Verdana" w:hAnsi="Verdana" w:cs="Arial"/>
                <w:szCs w:val="24"/>
              </w:rPr>
              <w:t>)</w:t>
            </w:r>
          </w:p>
        </w:tc>
        <w:tc>
          <w:tcPr>
            <w:tcW w:w="1895" w:type="dxa"/>
            <w:vAlign w:val="center"/>
          </w:tcPr>
          <w:p w:rsidR="0005465A" w:rsidRPr="00FD5DDA" w:rsidRDefault="0005465A" w:rsidP="00FD5DD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D5DDA">
              <w:rPr>
                <w:rFonts w:ascii="Verdana" w:hAnsi="Verdana" w:cs="Arial"/>
                <w:sz w:val="20"/>
                <w:szCs w:val="20"/>
              </w:rPr>
              <w:t>Densidade demográfica (</w:t>
            </w:r>
            <w:proofErr w:type="spellStart"/>
            <w:r w:rsidRPr="00FD5DDA">
              <w:rPr>
                <w:rFonts w:ascii="Verdana" w:hAnsi="Verdana" w:cs="Arial"/>
                <w:sz w:val="20"/>
                <w:szCs w:val="20"/>
              </w:rPr>
              <w:t>hab</w:t>
            </w:r>
            <w:proofErr w:type="spellEnd"/>
            <w:r w:rsidRPr="00FD5DDA">
              <w:rPr>
                <w:rFonts w:ascii="Verdana" w:hAnsi="Verdana" w:cs="Arial"/>
                <w:sz w:val="20"/>
                <w:szCs w:val="20"/>
              </w:rPr>
              <w:t>/km</w:t>
            </w:r>
            <w:r w:rsidRPr="00FD5DDA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  <w:r w:rsidRPr="00FD5DDA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05465A" w:rsidTr="00FD5DDA">
        <w:trPr>
          <w:jc w:val="center"/>
        </w:trPr>
        <w:tc>
          <w:tcPr>
            <w:tcW w:w="1951" w:type="dxa"/>
            <w:vAlign w:val="center"/>
          </w:tcPr>
          <w:p w:rsidR="0005465A" w:rsidRDefault="0005465A" w:rsidP="00FD5DDA">
            <w:pPr>
              <w:spacing w:after="0"/>
              <w:jc w:val="lef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Brasil</w:t>
            </w:r>
          </w:p>
        </w:tc>
        <w:tc>
          <w:tcPr>
            <w:tcW w:w="1764" w:type="dxa"/>
            <w:vAlign w:val="center"/>
          </w:tcPr>
          <w:p w:rsidR="0005465A" w:rsidRDefault="0005465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204.900.000</w:t>
            </w:r>
          </w:p>
        </w:tc>
        <w:tc>
          <w:tcPr>
            <w:tcW w:w="1780" w:type="dxa"/>
            <w:vAlign w:val="center"/>
          </w:tcPr>
          <w:p w:rsidR="0005465A" w:rsidRDefault="00FD5DD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8.515.767</w:t>
            </w:r>
          </w:p>
        </w:tc>
        <w:tc>
          <w:tcPr>
            <w:tcW w:w="1895" w:type="dxa"/>
            <w:vAlign w:val="bottom"/>
          </w:tcPr>
          <w:p w:rsidR="0005465A" w:rsidRDefault="00FD5DDA" w:rsidP="00FD5DDA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24</w:t>
            </w:r>
          </w:p>
        </w:tc>
      </w:tr>
      <w:tr w:rsidR="0005465A" w:rsidTr="00FD5DDA">
        <w:trPr>
          <w:jc w:val="center"/>
        </w:trPr>
        <w:tc>
          <w:tcPr>
            <w:tcW w:w="1951" w:type="dxa"/>
            <w:vAlign w:val="center"/>
          </w:tcPr>
          <w:p w:rsidR="0005465A" w:rsidRDefault="0005465A" w:rsidP="00FD5DDA">
            <w:pPr>
              <w:spacing w:after="0"/>
              <w:jc w:val="lef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Norte</w:t>
            </w:r>
          </w:p>
        </w:tc>
        <w:tc>
          <w:tcPr>
            <w:tcW w:w="1764" w:type="dxa"/>
            <w:vAlign w:val="center"/>
          </w:tcPr>
          <w:p w:rsidR="0005465A" w:rsidRDefault="0005465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17.524.000</w:t>
            </w:r>
          </w:p>
        </w:tc>
        <w:tc>
          <w:tcPr>
            <w:tcW w:w="1780" w:type="dxa"/>
            <w:vAlign w:val="center"/>
          </w:tcPr>
          <w:p w:rsidR="0005465A" w:rsidRDefault="00FD5DD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3.853.843</w:t>
            </w:r>
          </w:p>
        </w:tc>
        <w:tc>
          <w:tcPr>
            <w:tcW w:w="1895" w:type="dxa"/>
            <w:vAlign w:val="bottom"/>
          </w:tcPr>
          <w:p w:rsidR="0005465A" w:rsidRDefault="00FD5DDA" w:rsidP="00FD5DDA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proofErr w:type="gramStart"/>
            <w:r>
              <w:rPr>
                <w:rFonts w:ascii="Verdana" w:hAnsi="Verdana" w:cs="Arial"/>
                <w:szCs w:val="24"/>
              </w:rPr>
              <w:t>5</w:t>
            </w:r>
            <w:proofErr w:type="gramEnd"/>
          </w:p>
        </w:tc>
      </w:tr>
      <w:tr w:rsidR="0005465A" w:rsidTr="00FD5DDA">
        <w:trPr>
          <w:jc w:val="center"/>
        </w:trPr>
        <w:tc>
          <w:tcPr>
            <w:tcW w:w="1951" w:type="dxa"/>
            <w:vAlign w:val="center"/>
          </w:tcPr>
          <w:p w:rsidR="0005465A" w:rsidRDefault="0005465A" w:rsidP="00FD5DDA">
            <w:pPr>
              <w:spacing w:after="0"/>
              <w:jc w:val="lef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Nordeste</w:t>
            </w:r>
          </w:p>
        </w:tc>
        <w:tc>
          <w:tcPr>
            <w:tcW w:w="1764" w:type="dxa"/>
            <w:vAlign w:val="center"/>
          </w:tcPr>
          <w:p w:rsidR="0005465A" w:rsidRDefault="0005465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56.641.000</w:t>
            </w:r>
          </w:p>
        </w:tc>
        <w:tc>
          <w:tcPr>
            <w:tcW w:w="1780" w:type="dxa"/>
            <w:vAlign w:val="center"/>
          </w:tcPr>
          <w:p w:rsidR="0005465A" w:rsidRDefault="00FD5DD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1.554.291</w:t>
            </w:r>
          </w:p>
        </w:tc>
        <w:tc>
          <w:tcPr>
            <w:tcW w:w="1895" w:type="dxa"/>
            <w:vAlign w:val="bottom"/>
          </w:tcPr>
          <w:p w:rsidR="0005465A" w:rsidRDefault="00FD5DDA" w:rsidP="00FD5DDA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36</w:t>
            </w:r>
          </w:p>
        </w:tc>
      </w:tr>
      <w:tr w:rsidR="0005465A" w:rsidTr="00FD5DDA">
        <w:trPr>
          <w:jc w:val="center"/>
        </w:trPr>
        <w:tc>
          <w:tcPr>
            <w:tcW w:w="1951" w:type="dxa"/>
            <w:vAlign w:val="center"/>
          </w:tcPr>
          <w:p w:rsidR="0005465A" w:rsidRDefault="0005465A" w:rsidP="00FD5DDA">
            <w:pPr>
              <w:spacing w:after="0"/>
              <w:jc w:val="lef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Centro-Oeste</w:t>
            </w:r>
          </w:p>
        </w:tc>
        <w:tc>
          <w:tcPr>
            <w:tcW w:w="1764" w:type="dxa"/>
            <w:vAlign w:val="center"/>
          </w:tcPr>
          <w:p w:rsidR="0005465A" w:rsidRDefault="0005465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15.489.000</w:t>
            </w:r>
          </w:p>
        </w:tc>
        <w:tc>
          <w:tcPr>
            <w:tcW w:w="1780" w:type="dxa"/>
            <w:vAlign w:val="center"/>
          </w:tcPr>
          <w:p w:rsidR="0005465A" w:rsidRDefault="00FD5DD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1.606.234</w:t>
            </w:r>
          </w:p>
        </w:tc>
        <w:tc>
          <w:tcPr>
            <w:tcW w:w="1895" w:type="dxa"/>
            <w:vAlign w:val="bottom"/>
          </w:tcPr>
          <w:p w:rsidR="0005465A" w:rsidRDefault="00FD5DDA" w:rsidP="00FD5DDA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10</w:t>
            </w:r>
          </w:p>
        </w:tc>
      </w:tr>
      <w:tr w:rsidR="0005465A" w:rsidTr="00FD5DDA">
        <w:trPr>
          <w:jc w:val="center"/>
        </w:trPr>
        <w:tc>
          <w:tcPr>
            <w:tcW w:w="1951" w:type="dxa"/>
            <w:vAlign w:val="center"/>
          </w:tcPr>
          <w:p w:rsidR="0005465A" w:rsidRDefault="0005465A" w:rsidP="00FD5DDA">
            <w:pPr>
              <w:spacing w:after="0"/>
              <w:jc w:val="lef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Sudeste</w:t>
            </w:r>
          </w:p>
        </w:tc>
        <w:tc>
          <w:tcPr>
            <w:tcW w:w="1764" w:type="dxa"/>
            <w:vAlign w:val="center"/>
          </w:tcPr>
          <w:p w:rsidR="0005465A" w:rsidRDefault="00FD5DD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85.916.000</w:t>
            </w:r>
          </w:p>
        </w:tc>
        <w:tc>
          <w:tcPr>
            <w:tcW w:w="1780" w:type="dxa"/>
            <w:vAlign w:val="center"/>
          </w:tcPr>
          <w:p w:rsidR="0005465A" w:rsidRDefault="00FD5DD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924.614</w:t>
            </w:r>
          </w:p>
        </w:tc>
        <w:tc>
          <w:tcPr>
            <w:tcW w:w="1895" w:type="dxa"/>
            <w:vAlign w:val="bottom"/>
          </w:tcPr>
          <w:p w:rsidR="0005465A" w:rsidRDefault="00FD5DDA" w:rsidP="00FD5DDA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93</w:t>
            </w:r>
          </w:p>
        </w:tc>
      </w:tr>
      <w:tr w:rsidR="0005465A" w:rsidTr="00FD5DDA">
        <w:trPr>
          <w:jc w:val="center"/>
        </w:trPr>
        <w:tc>
          <w:tcPr>
            <w:tcW w:w="1951" w:type="dxa"/>
            <w:vAlign w:val="center"/>
          </w:tcPr>
          <w:p w:rsidR="0005465A" w:rsidRDefault="0005465A" w:rsidP="00FD5DDA">
            <w:pPr>
              <w:spacing w:after="0"/>
              <w:jc w:val="lef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Sul</w:t>
            </w:r>
          </w:p>
        </w:tc>
        <w:tc>
          <w:tcPr>
            <w:tcW w:w="1764" w:type="dxa"/>
            <w:vAlign w:val="center"/>
          </w:tcPr>
          <w:p w:rsidR="0005465A" w:rsidRDefault="00FD5DD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29.290.000</w:t>
            </w:r>
          </w:p>
        </w:tc>
        <w:tc>
          <w:tcPr>
            <w:tcW w:w="1780" w:type="dxa"/>
            <w:vAlign w:val="center"/>
          </w:tcPr>
          <w:p w:rsidR="0005465A" w:rsidRDefault="00FD5DDA" w:rsidP="00FD5DDA">
            <w:pPr>
              <w:spacing w:after="0"/>
              <w:jc w:val="right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576.783</w:t>
            </w:r>
          </w:p>
        </w:tc>
        <w:tc>
          <w:tcPr>
            <w:tcW w:w="1895" w:type="dxa"/>
            <w:vAlign w:val="bottom"/>
          </w:tcPr>
          <w:p w:rsidR="0005465A" w:rsidRDefault="00FD5DDA" w:rsidP="00FD5DDA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51</w:t>
            </w:r>
          </w:p>
        </w:tc>
      </w:tr>
    </w:tbl>
    <w:p w:rsidR="0005465A" w:rsidRPr="00FD5DDA" w:rsidRDefault="00FD5DDA" w:rsidP="00FD5DDA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FD5DDA">
        <w:rPr>
          <w:rFonts w:ascii="Verdana" w:hAnsi="Verdana" w:cs="Arial"/>
          <w:i/>
          <w:sz w:val="20"/>
          <w:szCs w:val="20"/>
        </w:rPr>
        <w:t>Fonte: IBGE 2017</w:t>
      </w:r>
    </w:p>
    <w:p w:rsidR="00E9596D" w:rsidRDefault="00E9596D" w:rsidP="00FD5DD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FD5DDA" w:rsidRPr="00FD5DDA" w:rsidRDefault="00FD5DDA" w:rsidP="00FD5DD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D5DDA">
        <w:rPr>
          <w:rFonts w:ascii="Verdana" w:hAnsi="Verdana" w:cs="Arial"/>
          <w:b/>
          <w:szCs w:val="24"/>
        </w:rPr>
        <w:t>O crescimento da população</w:t>
      </w:r>
    </w:p>
    <w:p w:rsidR="00FD5DDA" w:rsidRDefault="00FD5DDA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Em 1900 a população brasileira era cerca de 17 milhões de habitantes. Em 2015 já era de aproximadamente 205 milhões de habitantes.</w:t>
      </w:r>
    </w:p>
    <w:p w:rsidR="00FD5DDA" w:rsidRDefault="00FD5DDA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 w:rsidR="0061236B">
        <w:rPr>
          <w:rFonts w:ascii="Verdana" w:hAnsi="Verdana" w:cs="Arial"/>
          <w:szCs w:val="24"/>
        </w:rPr>
        <w:t>Alguns dos fatos que influenciam no crescimento populacional são o crescimento vegetativo e o saldo das migrações.</w:t>
      </w:r>
    </w:p>
    <w:p w:rsidR="0061236B" w:rsidRDefault="0061236B" w:rsidP="0061236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Crescimento vegetativo: é a diferença entre a taxa de natalidade e a taxa de mortalidade.</w:t>
      </w:r>
    </w:p>
    <w:p w:rsidR="0061236B" w:rsidRDefault="0061236B" w:rsidP="0061236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Saldo de migrações: Corresponde </w:t>
      </w:r>
      <w:proofErr w:type="gramStart"/>
      <w:r>
        <w:rPr>
          <w:rFonts w:ascii="Verdana" w:hAnsi="Verdana" w:cs="Arial"/>
          <w:szCs w:val="24"/>
        </w:rPr>
        <w:t>a</w:t>
      </w:r>
      <w:proofErr w:type="gramEnd"/>
      <w:r>
        <w:rPr>
          <w:rFonts w:ascii="Verdana" w:hAnsi="Verdana" w:cs="Arial"/>
          <w:szCs w:val="24"/>
        </w:rPr>
        <w:t xml:space="preserve"> diferença entre a quantidade de imigrantes e a de emigrantes do país.</w:t>
      </w:r>
    </w:p>
    <w:p w:rsidR="0061236B" w:rsidRPr="0061236B" w:rsidRDefault="0061236B" w:rsidP="0061236B">
      <w:pPr>
        <w:spacing w:after="0" w:line="360" w:lineRule="auto"/>
        <w:rPr>
          <w:rFonts w:ascii="Verdana" w:hAnsi="Verdana" w:cs="Arial"/>
          <w:szCs w:val="24"/>
        </w:rPr>
      </w:pPr>
    </w:p>
    <w:p w:rsidR="005F5862" w:rsidRDefault="005F5862" w:rsidP="005F586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-47625</wp:posOffset>
            </wp:positionV>
            <wp:extent cx="4572000" cy="2644140"/>
            <wp:effectExtent l="19050" t="0" r="19050" b="3810"/>
            <wp:wrapNone/>
            <wp:docPr id="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Verdana" w:hAnsi="Verdana" w:cs="Arial"/>
          <w:szCs w:val="24"/>
        </w:rPr>
        <w:t xml:space="preserve">   </w:t>
      </w:r>
    </w:p>
    <w:p w:rsidR="005F5862" w:rsidRPr="00365071" w:rsidRDefault="005F5862" w:rsidP="005F5862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Cs w:val="24"/>
        </w:rPr>
        <w:t xml:space="preserve">          </w:t>
      </w:r>
      <w:r w:rsidR="00365071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 xml:space="preserve">      </w:t>
      </w:r>
      <w:r w:rsidRPr="00365071">
        <w:rPr>
          <w:rFonts w:ascii="Verdana" w:hAnsi="Verdana" w:cs="Arial"/>
          <w:sz w:val="20"/>
          <w:szCs w:val="20"/>
        </w:rPr>
        <w:t>‰</w:t>
      </w:r>
    </w:p>
    <w:p w:rsidR="005F5862" w:rsidRDefault="005F586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5F5862" w:rsidRDefault="005F586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5F5862" w:rsidRDefault="005F586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5F5862" w:rsidRDefault="005F586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5F5862" w:rsidRDefault="005F586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5F5862" w:rsidRDefault="005F586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5F5862" w:rsidRDefault="005F586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5F5862" w:rsidRDefault="005F5862" w:rsidP="005F5862">
      <w:pPr>
        <w:spacing w:after="0" w:line="240" w:lineRule="auto"/>
        <w:rPr>
          <w:rFonts w:ascii="Verdana" w:hAnsi="Verdana" w:cs="Arial"/>
          <w:szCs w:val="24"/>
        </w:rPr>
      </w:pPr>
    </w:p>
    <w:p w:rsidR="00FD5DDA" w:rsidRDefault="00E9596D" w:rsidP="005F5862">
      <w:pPr>
        <w:spacing w:after="0"/>
        <w:jc w:val="center"/>
        <w:rPr>
          <w:rFonts w:ascii="Verdana" w:hAnsi="Verdana" w:cs="Arial"/>
          <w:i/>
          <w:sz w:val="20"/>
          <w:szCs w:val="20"/>
        </w:rPr>
      </w:pPr>
      <w:r w:rsidRPr="005F5862">
        <w:rPr>
          <w:rFonts w:ascii="Verdana" w:hAnsi="Verdana" w:cs="Arial"/>
          <w:i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-9563100</wp:posOffset>
            </wp:positionV>
            <wp:extent cx="5029200" cy="2644140"/>
            <wp:effectExtent l="19050" t="0" r="19050" b="3810"/>
            <wp:wrapNone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F5862" w:rsidRPr="005F5862">
        <w:rPr>
          <w:rFonts w:ascii="Verdana" w:hAnsi="Verdana" w:cs="Arial"/>
          <w:i/>
          <w:sz w:val="20"/>
          <w:szCs w:val="20"/>
        </w:rPr>
        <w:t>Fonte: IBGE Anuário estatístico do Brasil 2015</w:t>
      </w:r>
    </w:p>
    <w:p w:rsidR="005C1AE3" w:rsidRPr="005F5862" w:rsidRDefault="005C1AE3" w:rsidP="005F5862">
      <w:pPr>
        <w:spacing w:after="0"/>
        <w:jc w:val="center"/>
        <w:rPr>
          <w:rFonts w:ascii="Verdana" w:hAnsi="Verdana" w:cs="Arial"/>
          <w:i/>
          <w:sz w:val="20"/>
          <w:szCs w:val="20"/>
        </w:rPr>
      </w:pPr>
    </w:p>
    <w:p w:rsidR="005F5862" w:rsidRDefault="00365071" w:rsidP="005F586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O crescimento da população brasileira começou a diminuir a partir da década de 1960, um dos motivos foi </w:t>
      </w:r>
      <w:proofErr w:type="gramStart"/>
      <w:r>
        <w:rPr>
          <w:rFonts w:ascii="Verdana" w:hAnsi="Verdana" w:cs="Arial"/>
          <w:szCs w:val="24"/>
        </w:rPr>
        <w:t>a</w:t>
      </w:r>
      <w:proofErr w:type="gramEnd"/>
      <w:r>
        <w:rPr>
          <w:rFonts w:ascii="Verdana" w:hAnsi="Verdana" w:cs="Arial"/>
          <w:szCs w:val="24"/>
        </w:rPr>
        <w:t xml:space="preserve"> diminuição acentuada da taxa de natalidade.</w:t>
      </w:r>
    </w:p>
    <w:p w:rsidR="00365071" w:rsidRDefault="00365071" w:rsidP="005F586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A redução da taxa de fecundidade, que é a quantidade de filhos por mulher, está relacionada a fatores como o aumento de escolaridade, maior participação da mulher no mercado de trabalho e uso do planejamento familiar.</w:t>
      </w:r>
    </w:p>
    <w:p w:rsidR="00365071" w:rsidRDefault="00365071" w:rsidP="005F586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Em 2015, de acordo com o IBGE, </w:t>
      </w:r>
      <w:proofErr w:type="gramStart"/>
      <w:r>
        <w:rPr>
          <w:rFonts w:ascii="Verdana" w:hAnsi="Verdana" w:cs="Arial"/>
          <w:szCs w:val="24"/>
        </w:rPr>
        <w:t>cerca de 52</w:t>
      </w:r>
      <w:proofErr w:type="gramEnd"/>
      <w:r>
        <w:rPr>
          <w:rFonts w:ascii="Verdana" w:hAnsi="Verdana" w:cs="Arial"/>
          <w:szCs w:val="24"/>
        </w:rPr>
        <w:t xml:space="preserve">% da </w:t>
      </w:r>
      <w:r w:rsidR="00442B8E">
        <w:rPr>
          <w:rFonts w:ascii="Verdana" w:hAnsi="Verdana" w:cs="Arial"/>
          <w:szCs w:val="24"/>
        </w:rPr>
        <w:t xml:space="preserve">população era composta por mulheres. Atualmente quase metade dos lares brasileiros tem a mulher como principal provedora de recursos. </w:t>
      </w:r>
    </w:p>
    <w:p w:rsidR="005F5862" w:rsidRDefault="005F586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442B8E" w:rsidRPr="00442B8E" w:rsidRDefault="00442B8E" w:rsidP="00442B8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42B8E">
        <w:rPr>
          <w:rFonts w:ascii="Verdana" w:hAnsi="Verdana" w:cs="Arial"/>
          <w:b/>
          <w:szCs w:val="24"/>
        </w:rPr>
        <w:t>Envelhecimento da população</w:t>
      </w:r>
    </w:p>
    <w:p w:rsidR="00442B8E" w:rsidRDefault="00442B8E" w:rsidP="005F586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Fazendo uma comparação entre 1991 e 2015, podemos observar que a quantidade de jovens diminuiu e a de adultos e idosos aumentou, indicando que a população está envelhecendo.</w:t>
      </w:r>
    </w:p>
    <w:p w:rsidR="005C1AE3" w:rsidRDefault="005C1AE3" w:rsidP="005F5862">
      <w:pPr>
        <w:spacing w:after="0" w:line="360" w:lineRule="auto"/>
        <w:rPr>
          <w:rFonts w:ascii="Verdana" w:hAnsi="Verdana" w:cs="Arial"/>
          <w:szCs w:val="24"/>
        </w:rPr>
      </w:pPr>
    </w:p>
    <w:tbl>
      <w:tblPr>
        <w:tblStyle w:val="Tabelacomgrade"/>
        <w:tblW w:w="0" w:type="auto"/>
        <w:jc w:val="center"/>
        <w:tblInd w:w="2660" w:type="dxa"/>
        <w:tblLook w:val="04A0"/>
      </w:tblPr>
      <w:tblGrid>
        <w:gridCol w:w="1134"/>
        <w:gridCol w:w="1134"/>
        <w:gridCol w:w="1134"/>
      </w:tblGrid>
      <w:tr w:rsidR="00442B8E" w:rsidTr="005C1AE3">
        <w:trPr>
          <w:trHeight w:val="20"/>
          <w:jc w:val="center"/>
        </w:trPr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1991</w:t>
            </w:r>
          </w:p>
        </w:tc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2015</w:t>
            </w:r>
          </w:p>
        </w:tc>
      </w:tr>
      <w:tr w:rsidR="00442B8E" w:rsidTr="005C1AE3">
        <w:trPr>
          <w:trHeight w:val="20"/>
          <w:jc w:val="center"/>
        </w:trPr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Jovens</w:t>
            </w:r>
          </w:p>
        </w:tc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45%</w:t>
            </w:r>
          </w:p>
        </w:tc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30%</w:t>
            </w:r>
          </w:p>
        </w:tc>
      </w:tr>
      <w:tr w:rsidR="00442B8E" w:rsidTr="005C1AE3">
        <w:trPr>
          <w:trHeight w:val="20"/>
          <w:jc w:val="center"/>
        </w:trPr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Adultos</w:t>
            </w:r>
          </w:p>
        </w:tc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48%</w:t>
            </w:r>
          </w:p>
        </w:tc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56%</w:t>
            </w:r>
          </w:p>
        </w:tc>
      </w:tr>
      <w:tr w:rsidR="00442B8E" w:rsidTr="005C1AE3">
        <w:trPr>
          <w:trHeight w:val="20"/>
          <w:jc w:val="center"/>
        </w:trPr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Idosos</w:t>
            </w:r>
          </w:p>
        </w:tc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7%</w:t>
            </w:r>
          </w:p>
        </w:tc>
        <w:tc>
          <w:tcPr>
            <w:tcW w:w="1134" w:type="dxa"/>
            <w:vAlign w:val="bottom"/>
          </w:tcPr>
          <w:p w:rsidR="00442B8E" w:rsidRDefault="00442B8E" w:rsidP="005C1AE3">
            <w:pPr>
              <w:spacing w:after="0"/>
              <w:jc w:val="center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14%</w:t>
            </w:r>
          </w:p>
        </w:tc>
      </w:tr>
    </w:tbl>
    <w:p w:rsidR="005F5862" w:rsidRDefault="005C1AE3" w:rsidP="008E2642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5C1AE3">
        <w:rPr>
          <w:rFonts w:ascii="Verdana" w:hAnsi="Verdana" w:cs="Arial"/>
          <w:i/>
          <w:sz w:val="20"/>
          <w:szCs w:val="20"/>
        </w:rPr>
        <w:t>Fonte: IBGE 200</w:t>
      </w:r>
    </w:p>
    <w:p w:rsidR="005F5862" w:rsidRDefault="005F586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8E2642" w:rsidRDefault="008E264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8E2642" w:rsidRDefault="008E264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8E2642" w:rsidRDefault="008E264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8E2642" w:rsidRDefault="008E264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8E2642" w:rsidRDefault="008E2642" w:rsidP="005F5862">
      <w:pPr>
        <w:spacing w:after="0" w:line="360" w:lineRule="auto"/>
        <w:rPr>
          <w:rFonts w:ascii="Verdana" w:hAnsi="Verdana" w:cs="Arial"/>
          <w:szCs w:val="24"/>
        </w:rPr>
      </w:pPr>
    </w:p>
    <w:p w:rsidR="008E2642" w:rsidRPr="008E2642" w:rsidRDefault="008E2642" w:rsidP="00BE5575">
      <w:pPr>
        <w:jc w:val="center"/>
        <w:rPr>
          <w:rFonts w:ascii="Verdana" w:hAnsi="Verdana" w:cs="Arial"/>
          <w:b/>
          <w:szCs w:val="24"/>
        </w:rPr>
      </w:pPr>
      <w:r w:rsidRPr="008E2642">
        <w:rPr>
          <w:rFonts w:ascii="Verdana" w:hAnsi="Verdana" w:cs="Arial"/>
          <w:b/>
          <w:szCs w:val="24"/>
        </w:rPr>
        <w:t>Questões</w:t>
      </w:r>
    </w:p>
    <w:p w:rsidR="008E2642" w:rsidRDefault="008E2642" w:rsidP="00BE557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é o IBGE? </w:t>
      </w:r>
    </w:p>
    <w:p w:rsid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8E2642" w:rsidRDefault="008E2642" w:rsidP="00BE557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era a população brasileira em 2015?</w:t>
      </w:r>
    </w:p>
    <w:p w:rsidR="00BE5575" w:rsidRP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8E2642" w:rsidRDefault="008E2642" w:rsidP="00BE557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a região com maior densidade demográfica?</w:t>
      </w:r>
    </w:p>
    <w:p w:rsidR="00BE5575" w:rsidRP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8E2642" w:rsidRDefault="008E2642" w:rsidP="00BE557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a região com menor densidade demográfica?</w:t>
      </w:r>
    </w:p>
    <w:p w:rsidR="00BE5575" w:rsidRP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8E2642" w:rsidRDefault="008E2642" w:rsidP="00BE557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influencia o crescimento populacional?</w:t>
      </w:r>
    </w:p>
    <w:p w:rsid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BE5575" w:rsidRP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8E2642" w:rsidRDefault="008E2642" w:rsidP="00BE557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crescimento vegetativo?</w:t>
      </w:r>
    </w:p>
    <w:p w:rsid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BE5575" w:rsidRP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8E2642" w:rsidRDefault="008E2642" w:rsidP="00BE557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 crescimento da população começou a diminuir a partir da década de 60?</w:t>
      </w:r>
    </w:p>
    <w:p w:rsid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BE5575" w:rsidRP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8E2642" w:rsidRDefault="008E2642" w:rsidP="00BE557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Cite alguns motivos para a redução da taxa de fecundidade:</w:t>
      </w:r>
    </w:p>
    <w:p w:rsid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BE5575" w:rsidRP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8E2642" w:rsidRDefault="008E2642" w:rsidP="00BE557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2015, de que gênero era a maioria dos brasileiros?</w:t>
      </w:r>
    </w:p>
    <w:p w:rsidR="00BE5575" w:rsidRP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8E2642" w:rsidRDefault="008E2642" w:rsidP="00BE5575">
      <w:pPr>
        <w:pStyle w:val="PargrafodaLista"/>
        <w:numPr>
          <w:ilvl w:val="0"/>
          <w:numId w:val="20"/>
        </w:numPr>
        <w:tabs>
          <w:tab w:val="left" w:pos="993"/>
        </w:tabs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Em sua opinião, </w:t>
      </w:r>
      <w:r w:rsidR="00BE5575">
        <w:rPr>
          <w:rFonts w:ascii="Verdana" w:hAnsi="Verdana" w:cs="Arial"/>
          <w:szCs w:val="24"/>
        </w:rPr>
        <w:t>daqui</w:t>
      </w:r>
      <w:r>
        <w:rPr>
          <w:rFonts w:ascii="Verdana" w:hAnsi="Verdana" w:cs="Arial"/>
          <w:szCs w:val="24"/>
        </w:rPr>
        <w:t xml:space="preserve"> para frente vai aumentar ou diminuir o número de jovens no Brasil? Justifique sua resposta.</w:t>
      </w:r>
    </w:p>
    <w:p w:rsidR="00BE5575" w:rsidRP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 __________________________________________________________________</w:t>
      </w:r>
    </w:p>
    <w:p w:rsidR="008E2642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p w:rsidR="00BE5575" w:rsidRDefault="00BE5575" w:rsidP="00BE5575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____________________________________________________________________</w:t>
      </w:r>
    </w:p>
    <w:sectPr w:rsidR="00BE5575" w:rsidSect="00521388">
      <w:footerReference w:type="default" r:id="rId11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5E" w:rsidRDefault="006B7E5E" w:rsidP="00FE55FB">
      <w:pPr>
        <w:spacing w:after="0" w:line="240" w:lineRule="auto"/>
      </w:pPr>
      <w:r>
        <w:separator/>
      </w:r>
    </w:p>
  </w:endnote>
  <w:endnote w:type="continuationSeparator" w:id="0">
    <w:p w:rsidR="006B7E5E" w:rsidRDefault="006B7E5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5E" w:rsidRDefault="006B7E5E" w:rsidP="00FE55FB">
      <w:pPr>
        <w:spacing w:after="0" w:line="240" w:lineRule="auto"/>
      </w:pPr>
      <w:r>
        <w:separator/>
      </w:r>
    </w:p>
  </w:footnote>
  <w:footnote w:type="continuationSeparator" w:id="0">
    <w:p w:rsidR="006B7E5E" w:rsidRDefault="006B7E5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CF5"/>
    <w:multiLevelType w:val="hybridMultilevel"/>
    <w:tmpl w:val="9AAEAE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51AF2"/>
    <w:multiLevelType w:val="hybridMultilevel"/>
    <w:tmpl w:val="6392411E"/>
    <w:lvl w:ilvl="0" w:tplc="543624F0">
      <w:start w:val="9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7"/>
  </w:num>
  <w:num w:numId="5">
    <w:abstractNumId w:val="7"/>
  </w:num>
  <w:num w:numId="6">
    <w:abstractNumId w:val="8"/>
  </w:num>
  <w:num w:numId="7">
    <w:abstractNumId w:val="1"/>
  </w:num>
  <w:num w:numId="8">
    <w:abstractNumId w:val="19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6"/>
  </w:num>
  <w:num w:numId="17">
    <w:abstractNumId w:val="18"/>
  </w:num>
  <w:num w:numId="18">
    <w:abstractNumId w:val="3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5DD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5465A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5071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2B8E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4AEA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1AE3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862"/>
    <w:rsid w:val="005F5EFC"/>
    <w:rsid w:val="005F7A7E"/>
    <w:rsid w:val="0061236B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B7E5E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D71B5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2642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5575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0A6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596D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85C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D5DDA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 sz="1300">
                <a:latin typeface="Arial" pitchFamily="34" charset="0"/>
                <a:cs typeface="Arial" pitchFamily="34" charset="0"/>
              </a:rPr>
              <a:t>Brasil:Taxa</a:t>
            </a:r>
            <a:r>
              <a:rPr lang="pt-BR" sz="1300" baseline="0">
                <a:latin typeface="Arial" pitchFamily="34" charset="0"/>
                <a:cs typeface="Arial" pitchFamily="34" charset="0"/>
              </a:rPr>
              <a:t> de natalidade e mortalidade  (1900-2015)</a:t>
            </a:r>
            <a:endParaRPr lang="pt-BR" sz="1300">
              <a:latin typeface="Arial" pitchFamily="34" charset="0"/>
              <a:cs typeface="Arial" pitchFamily="34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Plan1!$A$24</c:f>
              <c:strCache>
                <c:ptCount val="1"/>
                <c:pt idx="0">
                  <c:v>Taxa de Natalidade</c:v>
                </c:pt>
              </c:strCache>
            </c:strRef>
          </c:tx>
          <c:dLbls>
            <c:dLbl>
              <c:idx val="0"/>
              <c:layout>
                <c:manualLayout>
                  <c:x val="-3.88888888888888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3.888888888888889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3.888888888888889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3.6111111111111129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3.6111111111111073E-2"/>
                  <c:y val="-4.8041386708952685E-3"/>
                </c:manualLayout>
              </c:layout>
              <c:showVal val="1"/>
            </c:dLbl>
            <c:dLbl>
              <c:idx val="7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-3.6111111111111149E-2"/>
                  <c:y val="-4.8041386708953145E-3"/>
                </c:manualLayout>
              </c:layout>
              <c:showVal val="1"/>
            </c:dLbl>
            <c:dLbl>
              <c:idx val="9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-3.888888888888889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pt-BR"/>
              </a:p>
            </c:txPr>
            <c:showVal val="1"/>
          </c:dLbls>
          <c:cat>
            <c:numRef>
              <c:f>Plan1!$B$23:$M$23</c:f>
              <c:numCache>
                <c:formatCode>General</c:formatCode>
                <c:ptCount val="12"/>
                <c:pt idx="0">
                  <c:v>1900</c:v>
                </c:pt>
                <c:pt idx="1">
                  <c:v>1910</c:v>
                </c:pt>
                <c:pt idx="2">
                  <c:v>1920</c:v>
                </c:pt>
                <c:pt idx="3">
                  <c:v>1930</c:v>
                </c:pt>
                <c:pt idx="4">
                  <c:v>1945</c:v>
                </c:pt>
                <c:pt idx="5">
                  <c:v>1955</c:v>
                </c:pt>
                <c:pt idx="6">
                  <c:v>1965</c:v>
                </c:pt>
                <c:pt idx="7">
                  <c:v>1975</c:v>
                </c:pt>
                <c:pt idx="8">
                  <c:v>1985</c:v>
                </c:pt>
                <c:pt idx="9">
                  <c:v>1995</c:v>
                </c:pt>
                <c:pt idx="10">
                  <c:v>2005</c:v>
                </c:pt>
                <c:pt idx="11">
                  <c:v>2015</c:v>
                </c:pt>
              </c:numCache>
            </c:numRef>
          </c:cat>
          <c:val>
            <c:numRef>
              <c:f>Plan1!$B$24:$M$24</c:f>
              <c:numCache>
                <c:formatCode>General</c:formatCode>
                <c:ptCount val="12"/>
                <c:pt idx="0">
                  <c:v>46</c:v>
                </c:pt>
                <c:pt idx="1">
                  <c:v>46</c:v>
                </c:pt>
                <c:pt idx="2">
                  <c:v>45</c:v>
                </c:pt>
                <c:pt idx="3">
                  <c:v>45</c:v>
                </c:pt>
                <c:pt idx="4">
                  <c:v>44</c:v>
                </c:pt>
                <c:pt idx="5">
                  <c:v>43</c:v>
                </c:pt>
                <c:pt idx="6">
                  <c:v>39</c:v>
                </c:pt>
                <c:pt idx="7">
                  <c:v>34</c:v>
                </c:pt>
                <c:pt idx="8">
                  <c:v>29</c:v>
                </c:pt>
                <c:pt idx="9">
                  <c:v>22</c:v>
                </c:pt>
                <c:pt idx="10">
                  <c:v>18</c:v>
                </c:pt>
                <c:pt idx="11">
                  <c:v>14</c:v>
                </c:pt>
              </c:numCache>
            </c:numRef>
          </c:val>
        </c:ser>
        <c:ser>
          <c:idx val="1"/>
          <c:order val="1"/>
          <c:tx>
            <c:strRef>
              <c:f>Plan1!$A$25</c:f>
              <c:strCache>
                <c:ptCount val="1"/>
                <c:pt idx="0">
                  <c:v>Taxa de Mortalidade</c:v>
                </c:pt>
              </c:strCache>
            </c:strRef>
          </c:tx>
          <c:dLbls>
            <c:dLbl>
              <c:idx val="0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3.888888888888889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3.6111111111111129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3.6111111111111073E-2"/>
                  <c:y val="-8.8074858184804058E-17"/>
                </c:manualLayout>
              </c:layout>
              <c:showVal val="1"/>
            </c:dLbl>
            <c:dLbl>
              <c:idx val="7"/>
              <c:layout>
                <c:manualLayout>
                  <c:x val="-3.3333333333333354E-2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-3.0555555555555582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-3.0555555555555582E-2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-3.0555555555555582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-3.055555555555558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pt-BR"/>
              </a:p>
            </c:txPr>
            <c:showVal val="1"/>
          </c:dLbls>
          <c:cat>
            <c:numRef>
              <c:f>Plan1!$B$23:$M$23</c:f>
              <c:numCache>
                <c:formatCode>General</c:formatCode>
                <c:ptCount val="12"/>
                <c:pt idx="0">
                  <c:v>1900</c:v>
                </c:pt>
                <c:pt idx="1">
                  <c:v>1910</c:v>
                </c:pt>
                <c:pt idx="2">
                  <c:v>1920</c:v>
                </c:pt>
                <c:pt idx="3">
                  <c:v>1930</c:v>
                </c:pt>
                <c:pt idx="4">
                  <c:v>1945</c:v>
                </c:pt>
                <c:pt idx="5">
                  <c:v>1955</c:v>
                </c:pt>
                <c:pt idx="6">
                  <c:v>1965</c:v>
                </c:pt>
                <c:pt idx="7">
                  <c:v>1975</c:v>
                </c:pt>
                <c:pt idx="8">
                  <c:v>1985</c:v>
                </c:pt>
                <c:pt idx="9">
                  <c:v>1995</c:v>
                </c:pt>
                <c:pt idx="10">
                  <c:v>2005</c:v>
                </c:pt>
                <c:pt idx="11">
                  <c:v>2015</c:v>
                </c:pt>
              </c:numCache>
            </c:numRef>
          </c:cat>
          <c:val>
            <c:numRef>
              <c:f>Plan1!$B$25:$M$25</c:f>
              <c:numCache>
                <c:formatCode>General</c:formatCode>
                <c:ptCount val="12"/>
                <c:pt idx="0">
                  <c:v>28</c:v>
                </c:pt>
                <c:pt idx="1">
                  <c:v>27</c:v>
                </c:pt>
                <c:pt idx="2">
                  <c:v>26</c:v>
                </c:pt>
                <c:pt idx="3">
                  <c:v>26</c:v>
                </c:pt>
                <c:pt idx="4">
                  <c:v>21</c:v>
                </c:pt>
                <c:pt idx="5">
                  <c:v>14</c:v>
                </c:pt>
                <c:pt idx="6">
                  <c:v>10</c:v>
                </c:pt>
                <c:pt idx="7">
                  <c:v>9</c:v>
                </c:pt>
                <c:pt idx="8">
                  <c:v>8</c:v>
                </c:pt>
                <c:pt idx="9">
                  <c:v>7</c:v>
                </c:pt>
                <c:pt idx="10">
                  <c:v>6</c:v>
                </c:pt>
                <c:pt idx="11">
                  <c:v>6</c:v>
                </c:pt>
              </c:numCache>
            </c:numRef>
          </c:val>
        </c:ser>
        <c:dLbls>
          <c:showVal val="1"/>
        </c:dLbls>
        <c:marker val="1"/>
        <c:axId val="117452160"/>
        <c:axId val="130618496"/>
      </c:lineChart>
      <c:catAx>
        <c:axId val="1174521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4260000"/>
          <a:lstStyle/>
          <a:p>
            <a:pPr>
              <a:defRPr/>
            </a:pPr>
            <a:endParaRPr lang="pt-BR"/>
          </a:p>
        </c:txPr>
        <c:crossAx val="130618496"/>
        <c:crosses val="autoZero"/>
        <c:auto val="1"/>
        <c:lblAlgn val="ctr"/>
        <c:lblOffset val="100"/>
      </c:catAx>
      <c:valAx>
        <c:axId val="1306184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7452160"/>
        <c:crosses val="autoZero"/>
        <c:crossBetween val="between"/>
      </c:valAx>
    </c:plotArea>
    <c:legend>
      <c:legendPos val="b"/>
    </c:legend>
    <c:plotVisOnly val="1"/>
  </c:chart>
  <c:spPr>
    <a:ln>
      <a:solidFill>
        <a:schemeClr val="accent4">
          <a:lumMod val="50000"/>
        </a:schemeClr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 sz="1300">
                <a:latin typeface="Arial" pitchFamily="34" charset="0"/>
                <a:cs typeface="Arial" pitchFamily="34" charset="0"/>
              </a:rPr>
              <a:t>Brasil:Taxa</a:t>
            </a:r>
            <a:r>
              <a:rPr lang="pt-BR" sz="1300" baseline="0">
                <a:latin typeface="Arial" pitchFamily="34" charset="0"/>
                <a:cs typeface="Arial" pitchFamily="34" charset="0"/>
              </a:rPr>
              <a:t> de natalidade e mortalidade  (1900-2015)</a:t>
            </a:r>
            <a:endParaRPr lang="pt-BR" sz="1300">
              <a:latin typeface="Arial" pitchFamily="34" charset="0"/>
              <a:cs typeface="Arial" pitchFamily="34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Plan1!$A$24</c:f>
              <c:strCache>
                <c:ptCount val="1"/>
                <c:pt idx="0">
                  <c:v>Taxa de Natalidade</c:v>
                </c:pt>
              </c:strCache>
            </c:strRef>
          </c:tx>
          <c:dLbls>
            <c:dLbl>
              <c:idx val="0"/>
              <c:layout>
                <c:manualLayout>
                  <c:x val="-3.88888888888888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3.888888888888889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3.888888888888889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3.6111111111111129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3.6111111111111059E-2"/>
                  <c:y val="-4.8041386708952685E-3"/>
                </c:manualLayout>
              </c:layout>
              <c:showVal val="1"/>
            </c:dLbl>
            <c:dLbl>
              <c:idx val="7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-3.6111111111111149E-2"/>
                  <c:y val="-4.8041386708953145E-3"/>
                </c:manualLayout>
              </c:layout>
              <c:showVal val="1"/>
            </c:dLbl>
            <c:dLbl>
              <c:idx val="9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-3.888888888888889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pt-BR"/>
              </a:p>
            </c:txPr>
            <c:showVal val="1"/>
          </c:dLbls>
          <c:cat>
            <c:numRef>
              <c:f>Plan1!$B$23:$M$23</c:f>
              <c:numCache>
                <c:formatCode>General</c:formatCode>
                <c:ptCount val="12"/>
                <c:pt idx="0">
                  <c:v>1900</c:v>
                </c:pt>
                <c:pt idx="1">
                  <c:v>1910</c:v>
                </c:pt>
                <c:pt idx="2">
                  <c:v>1920</c:v>
                </c:pt>
                <c:pt idx="3">
                  <c:v>1930</c:v>
                </c:pt>
                <c:pt idx="4">
                  <c:v>1945</c:v>
                </c:pt>
                <c:pt idx="5">
                  <c:v>1955</c:v>
                </c:pt>
                <c:pt idx="6">
                  <c:v>1965</c:v>
                </c:pt>
                <c:pt idx="7">
                  <c:v>1975</c:v>
                </c:pt>
                <c:pt idx="8">
                  <c:v>1985</c:v>
                </c:pt>
                <c:pt idx="9">
                  <c:v>1995</c:v>
                </c:pt>
                <c:pt idx="10">
                  <c:v>2005</c:v>
                </c:pt>
                <c:pt idx="11">
                  <c:v>2015</c:v>
                </c:pt>
              </c:numCache>
            </c:numRef>
          </c:cat>
          <c:val>
            <c:numRef>
              <c:f>Plan1!$B$24:$M$24</c:f>
              <c:numCache>
                <c:formatCode>General</c:formatCode>
                <c:ptCount val="12"/>
                <c:pt idx="0">
                  <c:v>46</c:v>
                </c:pt>
                <c:pt idx="1">
                  <c:v>46</c:v>
                </c:pt>
                <c:pt idx="2">
                  <c:v>45</c:v>
                </c:pt>
                <c:pt idx="3">
                  <c:v>45</c:v>
                </c:pt>
                <c:pt idx="4">
                  <c:v>44</c:v>
                </c:pt>
                <c:pt idx="5">
                  <c:v>43</c:v>
                </c:pt>
                <c:pt idx="6">
                  <c:v>39</c:v>
                </c:pt>
                <c:pt idx="7">
                  <c:v>34</c:v>
                </c:pt>
                <c:pt idx="8">
                  <c:v>29</c:v>
                </c:pt>
                <c:pt idx="9">
                  <c:v>22</c:v>
                </c:pt>
                <c:pt idx="10">
                  <c:v>18</c:v>
                </c:pt>
                <c:pt idx="11">
                  <c:v>14</c:v>
                </c:pt>
              </c:numCache>
            </c:numRef>
          </c:val>
        </c:ser>
        <c:ser>
          <c:idx val="1"/>
          <c:order val="1"/>
          <c:tx>
            <c:strRef>
              <c:f>Plan1!$A$25</c:f>
              <c:strCache>
                <c:ptCount val="1"/>
                <c:pt idx="0">
                  <c:v>Taxa de Mortalidade</c:v>
                </c:pt>
              </c:strCache>
            </c:strRef>
          </c:tx>
          <c:dLbls>
            <c:dLbl>
              <c:idx val="0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3.888888888888889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3.6111111111111129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3.6111111111111149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3.6111111111111059E-2"/>
                  <c:y val="-8.8074858184804058E-17"/>
                </c:manualLayout>
              </c:layout>
              <c:showVal val="1"/>
            </c:dLbl>
            <c:dLbl>
              <c:idx val="7"/>
              <c:layout>
                <c:manualLayout>
                  <c:x val="-3.333333333333334E-2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-3.0555555555555579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-3.0555555555555579E-2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-3.0555555555555579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-3.055555555555557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pt-BR"/>
              </a:p>
            </c:txPr>
            <c:showVal val="1"/>
          </c:dLbls>
          <c:cat>
            <c:numRef>
              <c:f>Plan1!$B$23:$M$23</c:f>
              <c:numCache>
                <c:formatCode>General</c:formatCode>
                <c:ptCount val="12"/>
                <c:pt idx="0">
                  <c:v>1900</c:v>
                </c:pt>
                <c:pt idx="1">
                  <c:v>1910</c:v>
                </c:pt>
                <c:pt idx="2">
                  <c:v>1920</c:v>
                </c:pt>
                <c:pt idx="3">
                  <c:v>1930</c:v>
                </c:pt>
                <c:pt idx="4">
                  <c:v>1945</c:v>
                </c:pt>
                <c:pt idx="5">
                  <c:v>1955</c:v>
                </c:pt>
                <c:pt idx="6">
                  <c:v>1965</c:v>
                </c:pt>
                <c:pt idx="7">
                  <c:v>1975</c:v>
                </c:pt>
                <c:pt idx="8">
                  <c:v>1985</c:v>
                </c:pt>
                <c:pt idx="9">
                  <c:v>1995</c:v>
                </c:pt>
                <c:pt idx="10">
                  <c:v>2005</c:v>
                </c:pt>
                <c:pt idx="11">
                  <c:v>2015</c:v>
                </c:pt>
              </c:numCache>
            </c:numRef>
          </c:cat>
          <c:val>
            <c:numRef>
              <c:f>Plan1!$B$25:$M$25</c:f>
              <c:numCache>
                <c:formatCode>General</c:formatCode>
                <c:ptCount val="12"/>
                <c:pt idx="0">
                  <c:v>28</c:v>
                </c:pt>
                <c:pt idx="1">
                  <c:v>27</c:v>
                </c:pt>
                <c:pt idx="2">
                  <c:v>26</c:v>
                </c:pt>
                <c:pt idx="3">
                  <c:v>26</c:v>
                </c:pt>
                <c:pt idx="4">
                  <c:v>21</c:v>
                </c:pt>
                <c:pt idx="5">
                  <c:v>14</c:v>
                </c:pt>
                <c:pt idx="6">
                  <c:v>10</c:v>
                </c:pt>
                <c:pt idx="7">
                  <c:v>9</c:v>
                </c:pt>
                <c:pt idx="8">
                  <c:v>8</c:v>
                </c:pt>
                <c:pt idx="9">
                  <c:v>7</c:v>
                </c:pt>
                <c:pt idx="10">
                  <c:v>6</c:v>
                </c:pt>
                <c:pt idx="11">
                  <c:v>6</c:v>
                </c:pt>
              </c:numCache>
            </c:numRef>
          </c:val>
        </c:ser>
        <c:dLbls>
          <c:showVal val="1"/>
        </c:dLbls>
        <c:marker val="1"/>
        <c:axId val="130648320"/>
        <c:axId val="130670592"/>
      </c:lineChart>
      <c:catAx>
        <c:axId val="1306483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4260000"/>
          <a:lstStyle/>
          <a:p>
            <a:pPr>
              <a:defRPr/>
            </a:pPr>
            <a:endParaRPr lang="pt-BR"/>
          </a:p>
        </c:txPr>
        <c:crossAx val="130670592"/>
        <c:crosses val="autoZero"/>
        <c:auto val="1"/>
        <c:lblAlgn val="ctr"/>
        <c:lblOffset val="100"/>
      </c:catAx>
      <c:valAx>
        <c:axId val="1306705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0648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B05BD-3D6C-48EA-B321-A2232C90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1116</TotalTime>
  <Pages>3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4</cp:revision>
  <cp:lastPrinted>2018-06-23T19:24:00Z</cp:lastPrinted>
  <dcterms:created xsi:type="dcterms:W3CDTF">2021-10-09T19:04:00Z</dcterms:created>
  <dcterms:modified xsi:type="dcterms:W3CDTF">2021-10-11T13:02:00Z</dcterms:modified>
</cp:coreProperties>
</file>