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18CA3" w14:textId="77777777" w:rsidR="008E5FB8" w:rsidRPr="00C70BB0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C70BB0">
        <w:rPr>
          <w:rFonts w:ascii="Verdana" w:hAnsi="Verdana" w:cs="Arial"/>
          <w:szCs w:val="24"/>
        </w:rPr>
        <w:t>ESCOLA ____________</w:t>
      </w:r>
      <w:r w:rsidR="00E86F37" w:rsidRPr="00C70BB0">
        <w:rPr>
          <w:rFonts w:ascii="Verdana" w:hAnsi="Verdana" w:cs="Arial"/>
          <w:szCs w:val="24"/>
        </w:rPr>
        <w:t>____________________________DATA:_____/_____/_____</w:t>
      </w:r>
    </w:p>
    <w:p w14:paraId="10AD1F89" w14:textId="77777777" w:rsidR="00A27109" w:rsidRPr="00C70BB0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70BB0">
        <w:rPr>
          <w:rFonts w:ascii="Verdana" w:hAnsi="Verdana" w:cs="Arial"/>
          <w:szCs w:val="24"/>
        </w:rPr>
        <w:t>_______________________</w:t>
      </w:r>
    </w:p>
    <w:p w14:paraId="5C9F87D6" w14:textId="77777777" w:rsidR="0097300E" w:rsidRPr="00C70BB0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2AF801" w14:textId="77777777" w:rsidR="00403958" w:rsidRPr="00C70BB0" w:rsidRDefault="00403958" w:rsidP="0040395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70BB0">
        <w:rPr>
          <w:rFonts w:ascii="Verdana" w:hAnsi="Verdana" w:cs="Arial"/>
          <w:b/>
          <w:bCs/>
          <w:szCs w:val="24"/>
        </w:rPr>
        <w:t>Primeiro Reinado</w:t>
      </w:r>
    </w:p>
    <w:p w14:paraId="5E792158" w14:textId="77777777" w:rsidR="00403958" w:rsidRPr="00C70BB0" w:rsidRDefault="00403958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0104DC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 xml:space="preserve">1) </w:t>
      </w:r>
      <w:r w:rsidRPr="00C70BB0">
        <w:rPr>
          <w:rFonts w:ascii="Verdana" w:hAnsi="Verdana" w:cs="Arial"/>
          <w:szCs w:val="24"/>
        </w:rPr>
        <w:t>Comparando-se os movimentos de independência da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América Espanhola e do Brasil, é correto afirmar que:</w:t>
      </w:r>
    </w:p>
    <w:p w14:paraId="0A24483D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a) O território fragmentou-se em vários países na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parte portuguesa e na espanhola, apesar das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tentativas de unidade.</w:t>
      </w:r>
    </w:p>
    <w:p w14:paraId="2CF3F73F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b) A dependência econômica em relação aos países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europeus foi superada na América Latina.</w:t>
      </w:r>
    </w:p>
    <w:p w14:paraId="2660F060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c) Enquanto as camadas populares conduziram o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processo na América Espanhola, no Brasil foi a elite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agrária.</w:t>
      </w:r>
    </w:p>
    <w:p w14:paraId="6FF24719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d) A república foi a forma de governo adotada nas ex</w:t>
      </w:r>
      <w:r w:rsidRPr="00C70BB0">
        <w:rPr>
          <w:rFonts w:ascii="Verdana" w:hAnsi="Verdana" w:cs="Arial"/>
          <w:szCs w:val="24"/>
        </w:rPr>
        <w:t>-</w:t>
      </w:r>
      <w:r w:rsidRPr="00C70BB0">
        <w:rPr>
          <w:rFonts w:ascii="Verdana" w:hAnsi="Verdana" w:cs="Arial"/>
          <w:szCs w:val="24"/>
        </w:rPr>
        <w:t>colônias espanholas, enquanto no Brasil implantou</w:t>
      </w:r>
      <w:r w:rsidRPr="00C70BB0">
        <w:rPr>
          <w:rFonts w:ascii="Verdana" w:hAnsi="Verdana" w:cs="Arial"/>
          <w:szCs w:val="24"/>
        </w:rPr>
        <w:t>-</w:t>
      </w:r>
      <w:r w:rsidRPr="00C70BB0">
        <w:rPr>
          <w:rFonts w:ascii="Verdana" w:hAnsi="Verdana" w:cs="Arial"/>
          <w:szCs w:val="24"/>
        </w:rPr>
        <w:t>se a monarquia.</w:t>
      </w:r>
    </w:p>
    <w:p w14:paraId="3C9E7B13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e) Em ambos houve guerras pela emancipação, apesar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do caráter revolucionário predominar no Brasil.</w:t>
      </w:r>
    </w:p>
    <w:p w14:paraId="26E45E72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080D63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 xml:space="preserve">2) </w:t>
      </w:r>
      <w:r w:rsidRPr="00C70BB0">
        <w:rPr>
          <w:rFonts w:ascii="Verdana" w:hAnsi="Verdana" w:cs="Arial"/>
          <w:szCs w:val="24"/>
        </w:rPr>
        <w:t>A Confederação do Equador (1824) foi um dos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movimentos que demonstrou o conflito existente entre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a organização do estado no Brasil e a constituição da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nação. Das alternativas abaixo, aquela que NÃO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caracteriza o movimento é:</w:t>
      </w:r>
    </w:p>
    <w:p w14:paraId="29F65DDE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a) Teve a presença de setores populares, que deu ao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movimento também o caráter de revolta social.</w:t>
      </w:r>
    </w:p>
    <w:p w14:paraId="6B7BCB63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 xml:space="preserve">b) Refletiu forte sentimento </w:t>
      </w:r>
      <w:proofErr w:type="spellStart"/>
      <w:r w:rsidRPr="00C70BB0">
        <w:rPr>
          <w:rFonts w:ascii="Verdana" w:hAnsi="Verdana" w:cs="Arial"/>
          <w:szCs w:val="24"/>
        </w:rPr>
        <w:t>antiportuguês</w:t>
      </w:r>
      <w:proofErr w:type="spellEnd"/>
      <w:r w:rsidRPr="00C70BB0">
        <w:rPr>
          <w:rFonts w:ascii="Verdana" w:hAnsi="Verdana" w:cs="Arial"/>
          <w:szCs w:val="24"/>
        </w:rPr>
        <w:t>, devido ao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caráter negociado da independência brasileira.</w:t>
      </w:r>
    </w:p>
    <w:p w14:paraId="07368895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lastRenderedPageBreak/>
        <w:t>c) Significou o descontentamento dos liberais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pernambucanos, após a outorga da Constituição de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1824.</w:t>
      </w:r>
    </w:p>
    <w:p w14:paraId="52227A18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d) Buscou o estabelecimento de uma monarquia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parlamentar, uma vez que a liderança do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movimento, por seu caráter liberal, era antir</w:t>
      </w:r>
      <w:r w:rsidRPr="00C70BB0">
        <w:rPr>
          <w:rFonts w:ascii="Verdana" w:hAnsi="Verdana" w:cs="Arial"/>
          <w:szCs w:val="24"/>
        </w:rPr>
        <w:t>r</w:t>
      </w:r>
      <w:r w:rsidRPr="00C70BB0">
        <w:rPr>
          <w:rFonts w:ascii="Verdana" w:hAnsi="Verdana" w:cs="Arial"/>
          <w:szCs w:val="24"/>
        </w:rPr>
        <w:t>epublicana.</w:t>
      </w:r>
    </w:p>
    <w:p w14:paraId="0FB2CCE1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e) Demonstrou as divergências entre as oligarquias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dominantes nordestinas e o poder central,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sobretudo quanto ao desejo por autonomia das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províncias.</w:t>
      </w:r>
    </w:p>
    <w:p w14:paraId="596A8544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875E03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 xml:space="preserve">3) </w:t>
      </w:r>
      <w:r w:rsidRPr="00C70BB0">
        <w:rPr>
          <w:rFonts w:ascii="Verdana" w:hAnsi="Verdana" w:cs="Arial"/>
          <w:szCs w:val="24"/>
        </w:rPr>
        <w:t>O primeiro reinado foi marcado por alguns movimentos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de contestação ao governo do imperador Pedro I.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Qual das alternativas abaixo trata de um movimento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que envolveu as províncias do Nordeste na contestação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ao governo do imperador no ano de 1824?</w:t>
      </w:r>
    </w:p>
    <w:p w14:paraId="722E90E6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a) Guerra da Cisplatina</w:t>
      </w:r>
    </w:p>
    <w:p w14:paraId="7F79B266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b) Revolução Pernambucana</w:t>
      </w:r>
    </w:p>
    <w:p w14:paraId="7ABDF427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c) Confederação do Equador</w:t>
      </w:r>
    </w:p>
    <w:p w14:paraId="644C7B2B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 xml:space="preserve">d) Revolta de </w:t>
      </w:r>
      <w:proofErr w:type="spellStart"/>
      <w:r w:rsidRPr="00C70BB0">
        <w:rPr>
          <w:rFonts w:ascii="Verdana" w:hAnsi="Verdana" w:cs="Arial"/>
          <w:szCs w:val="24"/>
        </w:rPr>
        <w:t>Beckman</w:t>
      </w:r>
      <w:proofErr w:type="spellEnd"/>
    </w:p>
    <w:p w14:paraId="651E1C53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e) Revolução Praieira</w:t>
      </w:r>
      <w:r w:rsidRPr="00C70BB0">
        <w:rPr>
          <w:rFonts w:ascii="Verdana" w:hAnsi="Verdana" w:cs="Arial"/>
          <w:szCs w:val="24"/>
        </w:rPr>
        <w:cr/>
      </w:r>
    </w:p>
    <w:p w14:paraId="4F319815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 xml:space="preserve">4) </w:t>
      </w:r>
      <w:r w:rsidRPr="00C70BB0">
        <w:rPr>
          <w:rFonts w:ascii="Verdana" w:hAnsi="Verdana" w:cs="Arial"/>
          <w:szCs w:val="24"/>
        </w:rPr>
        <w:t>A Constituição brasileira de 1824, que estabelecia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caráter autoritário para o imperador, ficou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caracterizada pelo(a)</w:t>
      </w:r>
    </w:p>
    <w:p w14:paraId="3CA4481A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a) Estabelecimento do “voto universal” e aberto para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 xml:space="preserve">os homens, </w:t>
      </w:r>
      <w:r w:rsidRPr="00C70BB0">
        <w:rPr>
          <w:rFonts w:ascii="Verdana" w:hAnsi="Verdana" w:cs="Arial"/>
          <w:szCs w:val="24"/>
        </w:rPr>
        <w:t>excluindo,</w:t>
      </w:r>
      <w:r w:rsidRPr="00C70BB0">
        <w:rPr>
          <w:rFonts w:ascii="Verdana" w:hAnsi="Verdana" w:cs="Arial"/>
          <w:szCs w:val="24"/>
        </w:rPr>
        <w:t xml:space="preserve"> porém, os mendigos, os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padres e os menores de 21 anos.</w:t>
      </w:r>
    </w:p>
    <w:p w14:paraId="056EEB8F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b) Limitação da autonomia jurídica nos estados e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responsabilidade do governo central na elaboração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dos Códigos Civil e Penal.</w:t>
      </w:r>
    </w:p>
    <w:p w14:paraId="0B4F85D3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c) Extinção do Poder Legislativo e subordinação do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Poder Judiciário, cujas funções passaram ao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Executivo.</w:t>
      </w:r>
    </w:p>
    <w:p w14:paraId="04CD9DF6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d) Proibição do voto para mulheres, analfabetos e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soldados, além da adoção dos cargos vitalícios para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Deputados e Senadores.</w:t>
      </w:r>
      <w:r w:rsidRPr="00C70BB0">
        <w:rPr>
          <w:rFonts w:ascii="Verdana" w:hAnsi="Verdana" w:cs="Arial"/>
          <w:szCs w:val="24"/>
        </w:rPr>
        <w:cr/>
      </w:r>
      <w:r w:rsidRPr="00C70BB0">
        <w:rPr>
          <w:rFonts w:ascii="Verdana" w:hAnsi="Verdana" w:cs="Arial"/>
          <w:szCs w:val="24"/>
        </w:rPr>
        <w:lastRenderedPageBreak/>
        <w:t>e) Imposição do Poder Moderador e do voto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censitário, permitindo que votassem apenas os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eleitores com renda anual superior a cem mil réis.</w:t>
      </w:r>
    </w:p>
    <w:p w14:paraId="5F31A395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5D7455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 xml:space="preserve">5) </w:t>
      </w:r>
      <w:r w:rsidRPr="00C70BB0">
        <w:rPr>
          <w:rFonts w:ascii="Verdana" w:hAnsi="Verdana" w:cs="Arial"/>
          <w:szCs w:val="24"/>
        </w:rPr>
        <w:t>Após 1830, verificou-se, no Brasil, uma grande expansão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da lavoura cafeeira, inicialmente para o vale do Paraíba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do Sul de Minas Gerais, posteriormente para a província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de São Paulo. Essa expansão provocou grandes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alterações na vida econômica e social brasileira.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Assinale a alternativa que apresenta algumas dessas</w:t>
      </w:r>
    </w:p>
    <w:p w14:paraId="32449541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alterações:</w:t>
      </w:r>
    </w:p>
    <w:p w14:paraId="0C1EB72F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a) Transferência do eixo econômico para o centro-sul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do país, aumento das exportações e expansão do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sistema escravista nas províncias do Rio de Janeiro,</w:t>
      </w:r>
      <w:r w:rsidR="00C70BB0"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Minas Gerais e São Paulo.</w:t>
      </w:r>
    </w:p>
    <w:p w14:paraId="11662E04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b) Fundação de fábricas produtoras de máquinas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agrícolas e expansão do crédito agrícola.</w:t>
      </w:r>
    </w:p>
    <w:p w14:paraId="17FFFBD0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c) Crescimento demográfico nas províncias do centro</w:t>
      </w:r>
      <w:r w:rsidRPr="00C70BB0">
        <w:rPr>
          <w:rFonts w:ascii="Verdana" w:hAnsi="Verdana" w:cs="Arial"/>
          <w:szCs w:val="24"/>
        </w:rPr>
        <w:t>-</w:t>
      </w:r>
      <w:r w:rsidRPr="00C70BB0">
        <w:rPr>
          <w:rFonts w:ascii="Verdana" w:hAnsi="Verdana" w:cs="Arial"/>
          <w:szCs w:val="24"/>
        </w:rPr>
        <w:t>sul, expansão da pecuária e fundação de estaleiros.</w:t>
      </w:r>
    </w:p>
    <w:p w14:paraId="526C226B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d) Crescimento das cidades e multiplicação de grupos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sociais médios (profissionais liberais, funcionários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públicos, comerciantes, etc.).</w:t>
      </w:r>
    </w:p>
    <w:p w14:paraId="19714421" w14:textId="77777777" w:rsidR="00403958" w:rsidRPr="00C70BB0" w:rsidRDefault="00403958" w:rsidP="004039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0BB0">
        <w:rPr>
          <w:rFonts w:ascii="Verdana" w:hAnsi="Verdana" w:cs="Arial"/>
          <w:szCs w:val="24"/>
        </w:rPr>
        <w:t>e) Vinda de imigrantes estrangeiros, início da</w:t>
      </w:r>
      <w:r w:rsidRPr="00C70BB0">
        <w:rPr>
          <w:rFonts w:ascii="Verdana" w:hAnsi="Verdana" w:cs="Arial"/>
          <w:szCs w:val="24"/>
        </w:rPr>
        <w:t xml:space="preserve"> </w:t>
      </w:r>
      <w:r w:rsidRPr="00C70BB0">
        <w:rPr>
          <w:rFonts w:ascii="Verdana" w:hAnsi="Verdana" w:cs="Arial"/>
          <w:szCs w:val="24"/>
        </w:rPr>
        <w:t>ocupação do Mato Grosso e da Amazônia</w:t>
      </w:r>
      <w:bookmarkEnd w:id="0"/>
    </w:p>
    <w:sectPr w:rsidR="00403958" w:rsidRPr="00C70BB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544F" w14:textId="77777777" w:rsidR="00F63CF7" w:rsidRDefault="00F63CF7" w:rsidP="00FE55FB">
      <w:pPr>
        <w:spacing w:after="0" w:line="240" w:lineRule="auto"/>
      </w:pPr>
      <w:r>
        <w:separator/>
      </w:r>
    </w:p>
  </w:endnote>
  <w:endnote w:type="continuationSeparator" w:id="0">
    <w:p w14:paraId="291A5976" w14:textId="77777777" w:rsidR="00F63CF7" w:rsidRDefault="00F63CF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65C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24BA" w14:textId="77777777" w:rsidR="00F63CF7" w:rsidRDefault="00F63CF7" w:rsidP="00FE55FB">
      <w:pPr>
        <w:spacing w:after="0" w:line="240" w:lineRule="auto"/>
      </w:pPr>
      <w:r>
        <w:separator/>
      </w:r>
    </w:p>
  </w:footnote>
  <w:footnote w:type="continuationSeparator" w:id="0">
    <w:p w14:paraId="2775E58B" w14:textId="77777777" w:rsidR="00F63CF7" w:rsidRDefault="00F63CF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3958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0BB0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63CF7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370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70644-A9F4-4E96-A5AF-BB937AF8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3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2019-11-23T22:44:00Z</cp:lastPrinted>
  <dcterms:created xsi:type="dcterms:W3CDTF">2019-11-23T22:45:00Z</dcterms:created>
  <dcterms:modified xsi:type="dcterms:W3CDTF">2019-11-23T22:45:00Z</dcterms:modified>
</cp:coreProperties>
</file>