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4695" w14:textId="77777777" w:rsidR="008E5FB8" w:rsidRPr="00956944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956944">
        <w:rPr>
          <w:rFonts w:ascii="Verdana" w:hAnsi="Verdana" w:cs="Arial"/>
          <w:szCs w:val="24"/>
        </w:rPr>
        <w:t>ESCOLA ____________</w:t>
      </w:r>
      <w:r w:rsidR="00E86F37" w:rsidRPr="00956944">
        <w:rPr>
          <w:rFonts w:ascii="Verdana" w:hAnsi="Verdana" w:cs="Arial"/>
          <w:szCs w:val="24"/>
        </w:rPr>
        <w:t>____________________________DATA:_____/_____/_____</w:t>
      </w:r>
    </w:p>
    <w:p w14:paraId="6EB58BA2" w14:textId="77777777" w:rsidR="00A27109" w:rsidRPr="00956944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56944">
        <w:rPr>
          <w:rFonts w:ascii="Verdana" w:hAnsi="Verdana" w:cs="Arial"/>
          <w:szCs w:val="24"/>
        </w:rPr>
        <w:t>_______________________</w:t>
      </w:r>
    </w:p>
    <w:p w14:paraId="45BAA6F5" w14:textId="77777777" w:rsidR="0097300E" w:rsidRPr="00956944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A3EE6E" w14:textId="77777777" w:rsidR="00500347" w:rsidRPr="00956944" w:rsidRDefault="00500347" w:rsidP="0095694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56944">
        <w:rPr>
          <w:rFonts w:ascii="Verdana" w:hAnsi="Verdana" w:cs="Arial"/>
          <w:b/>
          <w:bCs/>
          <w:szCs w:val="24"/>
        </w:rPr>
        <w:t>População europeia</w:t>
      </w:r>
    </w:p>
    <w:p w14:paraId="3FFEBB3E" w14:textId="77777777" w:rsidR="00956944" w:rsidRPr="00956944" w:rsidRDefault="00956944" w:rsidP="00956944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Cs w:val="24"/>
        </w:rPr>
      </w:pPr>
      <w:r w:rsidRPr="00956944">
        <w:rPr>
          <w:rFonts w:ascii="Verdana" w:hAnsi="Verdana" w:cs="Arial"/>
          <w:i/>
          <w:iCs/>
          <w:szCs w:val="24"/>
        </w:rPr>
        <w:t>“</w:t>
      </w:r>
      <w:r w:rsidRPr="00956944">
        <w:rPr>
          <w:rFonts w:ascii="Verdana" w:hAnsi="Verdana" w:cs="Arial"/>
          <w:i/>
          <w:iCs/>
          <w:szCs w:val="24"/>
        </w:rPr>
        <w:t>[...] a população mundial deverá ser de 9,3 bilhões de</w:t>
      </w:r>
      <w:r w:rsidRPr="00956944">
        <w:rPr>
          <w:rFonts w:ascii="Verdana" w:hAnsi="Verdana" w:cs="Arial"/>
          <w:i/>
          <w:iCs/>
          <w:szCs w:val="24"/>
        </w:rPr>
        <w:t xml:space="preserve"> </w:t>
      </w:r>
      <w:r w:rsidRPr="00956944">
        <w:rPr>
          <w:rFonts w:ascii="Verdana" w:hAnsi="Verdana" w:cs="Arial"/>
          <w:i/>
          <w:iCs/>
          <w:szCs w:val="24"/>
        </w:rPr>
        <w:t>pessoas em 2050. Ou seja, será 50% maior que os 6,1 bilhões de meados do ano 2000. [...] Essas são as principais</w:t>
      </w:r>
      <w:r w:rsidRPr="00956944">
        <w:rPr>
          <w:rFonts w:ascii="Verdana" w:hAnsi="Verdana" w:cs="Arial"/>
          <w:i/>
          <w:iCs/>
          <w:szCs w:val="24"/>
        </w:rPr>
        <w:t xml:space="preserve"> </w:t>
      </w:r>
      <w:r w:rsidRPr="00956944">
        <w:rPr>
          <w:rFonts w:ascii="Verdana" w:hAnsi="Verdana" w:cs="Arial"/>
          <w:i/>
          <w:iCs/>
          <w:szCs w:val="24"/>
        </w:rPr>
        <w:t>conclusões do relatório Perspectivas da População Mundial</w:t>
      </w:r>
      <w:r w:rsidRPr="00956944">
        <w:rPr>
          <w:rFonts w:ascii="Verdana" w:hAnsi="Verdana" w:cs="Arial"/>
          <w:i/>
          <w:iCs/>
          <w:szCs w:val="24"/>
        </w:rPr>
        <w:t xml:space="preserve"> </w:t>
      </w:r>
      <w:r w:rsidRPr="00956944">
        <w:rPr>
          <w:rFonts w:ascii="Verdana" w:hAnsi="Verdana" w:cs="Arial"/>
          <w:i/>
          <w:iCs/>
          <w:szCs w:val="24"/>
        </w:rPr>
        <w:t>– Revisão 2000, preparado pela Organização das Nações</w:t>
      </w:r>
      <w:r w:rsidRPr="00956944">
        <w:rPr>
          <w:rFonts w:ascii="Verdana" w:hAnsi="Verdana" w:cs="Arial"/>
          <w:i/>
          <w:iCs/>
          <w:szCs w:val="24"/>
        </w:rPr>
        <w:t xml:space="preserve"> </w:t>
      </w:r>
      <w:r w:rsidRPr="00956944">
        <w:rPr>
          <w:rFonts w:ascii="Verdana" w:hAnsi="Verdana" w:cs="Arial"/>
          <w:i/>
          <w:iCs/>
          <w:szCs w:val="24"/>
        </w:rPr>
        <w:t>Unidas (ONU). [...] Apenas seis países respondem por quase</w:t>
      </w:r>
      <w:r w:rsidRPr="00956944">
        <w:rPr>
          <w:rFonts w:ascii="Verdana" w:hAnsi="Verdana" w:cs="Arial"/>
          <w:i/>
          <w:iCs/>
          <w:szCs w:val="24"/>
        </w:rPr>
        <w:t xml:space="preserve"> </w:t>
      </w:r>
      <w:r w:rsidRPr="00956944">
        <w:rPr>
          <w:rFonts w:ascii="Verdana" w:hAnsi="Verdana" w:cs="Arial"/>
          <w:i/>
          <w:iCs/>
          <w:szCs w:val="24"/>
        </w:rPr>
        <w:t>metade desse aumento: Índia (21%), China (12%), Paquistão</w:t>
      </w:r>
    </w:p>
    <w:p w14:paraId="2A6205BA" w14:textId="77777777" w:rsidR="00956944" w:rsidRPr="00956944" w:rsidRDefault="00956944" w:rsidP="00956944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 w:rsidRPr="00956944">
        <w:rPr>
          <w:rFonts w:ascii="Verdana" w:hAnsi="Verdana" w:cs="Arial"/>
          <w:i/>
          <w:iCs/>
          <w:szCs w:val="24"/>
        </w:rPr>
        <w:t>(5%), Nigéria (4%), Bangladesh (4%) e Indonésia (3%).</w:t>
      </w:r>
      <w:r w:rsidRPr="00956944">
        <w:rPr>
          <w:rFonts w:ascii="Verdana" w:hAnsi="Verdana" w:cs="Arial"/>
          <w:i/>
          <w:iCs/>
          <w:szCs w:val="24"/>
        </w:rPr>
        <w:t xml:space="preserve"> </w:t>
      </w:r>
      <w:r w:rsidRPr="00956944">
        <w:rPr>
          <w:rFonts w:ascii="Verdana" w:hAnsi="Verdana" w:cs="Arial"/>
          <w:i/>
          <w:iCs/>
          <w:szCs w:val="24"/>
        </w:rPr>
        <w:t>Esses elevados índices de expansão contrastam com</w:t>
      </w:r>
      <w:r w:rsidRPr="00956944">
        <w:rPr>
          <w:rFonts w:ascii="Verdana" w:hAnsi="Verdana" w:cs="Arial"/>
          <w:i/>
          <w:iCs/>
          <w:szCs w:val="24"/>
        </w:rPr>
        <w:t xml:space="preserve"> </w:t>
      </w:r>
      <w:r w:rsidRPr="00956944">
        <w:rPr>
          <w:rFonts w:ascii="Verdana" w:hAnsi="Verdana" w:cs="Arial"/>
          <w:i/>
          <w:iCs/>
          <w:szCs w:val="24"/>
        </w:rPr>
        <w:t>os dos países mais desenvolvidos. Em 2000, por exemplo,</w:t>
      </w:r>
    </w:p>
    <w:p w14:paraId="0D827FFF" w14:textId="77777777" w:rsidR="00956944" w:rsidRPr="00956944" w:rsidRDefault="00956944" w:rsidP="00956944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 w:rsidRPr="00956944">
        <w:rPr>
          <w:rFonts w:ascii="Verdana" w:hAnsi="Verdana" w:cs="Arial"/>
          <w:i/>
          <w:iCs/>
          <w:szCs w:val="24"/>
        </w:rPr>
        <w:t>a população da União Europeia teve um aumento de 343</w:t>
      </w:r>
      <w:r w:rsidRPr="00956944">
        <w:rPr>
          <w:rFonts w:ascii="Verdana" w:hAnsi="Verdana" w:cs="Arial"/>
          <w:i/>
          <w:iCs/>
          <w:szCs w:val="24"/>
        </w:rPr>
        <w:t xml:space="preserve"> </w:t>
      </w:r>
      <w:r w:rsidRPr="00956944">
        <w:rPr>
          <w:rFonts w:ascii="Verdana" w:hAnsi="Verdana" w:cs="Arial"/>
          <w:i/>
          <w:iCs/>
          <w:szCs w:val="24"/>
        </w:rPr>
        <w:t>mil pessoas, enquanto a Índia alcançou esse mesmo crescimento na primeira semana de 2001. [...] Os Estados Unidos serão uma exceção no grupo dos países desenvolvidos.</w:t>
      </w:r>
      <w:r w:rsidRPr="00956944">
        <w:rPr>
          <w:rFonts w:ascii="Verdana" w:hAnsi="Verdana" w:cs="Arial"/>
          <w:i/>
          <w:iCs/>
          <w:szCs w:val="24"/>
        </w:rPr>
        <w:t xml:space="preserve"> </w:t>
      </w:r>
      <w:r w:rsidRPr="00956944">
        <w:rPr>
          <w:rFonts w:ascii="Verdana" w:hAnsi="Verdana" w:cs="Arial"/>
          <w:i/>
          <w:iCs/>
          <w:szCs w:val="24"/>
        </w:rPr>
        <w:t>O país se tornará o único desenvolvido entre os 20 mais</w:t>
      </w:r>
      <w:r w:rsidRPr="00956944">
        <w:rPr>
          <w:rFonts w:ascii="Verdana" w:hAnsi="Verdana" w:cs="Arial"/>
          <w:i/>
          <w:iCs/>
          <w:szCs w:val="24"/>
        </w:rPr>
        <w:t xml:space="preserve"> </w:t>
      </w:r>
      <w:r w:rsidRPr="00956944">
        <w:rPr>
          <w:rFonts w:ascii="Verdana" w:hAnsi="Verdana" w:cs="Arial"/>
          <w:i/>
          <w:iCs/>
          <w:szCs w:val="24"/>
        </w:rPr>
        <w:t>populosos do mundo.</w:t>
      </w:r>
      <w:r w:rsidRPr="00956944">
        <w:rPr>
          <w:rFonts w:ascii="Verdana" w:hAnsi="Verdana" w:cs="Arial"/>
          <w:i/>
          <w:iCs/>
          <w:szCs w:val="24"/>
        </w:rPr>
        <w:t>”</w:t>
      </w:r>
    </w:p>
    <w:p w14:paraId="627521CA" w14:textId="77777777" w:rsidR="00500347" w:rsidRPr="00956944" w:rsidRDefault="00956944" w:rsidP="00956944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956944">
        <w:rPr>
          <w:rFonts w:ascii="Verdana" w:hAnsi="Verdana" w:cs="Arial"/>
          <w:sz w:val="20"/>
          <w:szCs w:val="20"/>
        </w:rPr>
        <w:t>O ESTADO DE S. PAULO, 3 mar. 2001</w:t>
      </w:r>
    </w:p>
    <w:p w14:paraId="429E3F83" w14:textId="77777777" w:rsidR="00956944" w:rsidRPr="00956944" w:rsidRDefault="00956944" w:rsidP="00956944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4BF76B77" w14:textId="77777777" w:rsidR="00956944" w:rsidRPr="00956944" w:rsidRDefault="00956944" w:rsidP="00956944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6DE29D21" w14:textId="77777777" w:rsidR="00500347" w:rsidRPr="00956944" w:rsidRDefault="00500347" w:rsidP="0050034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Mais de uma centena de línguas é falada na Europa. Algumas são consideradas oficiais, as demais são línguas regionais e dialetos. Apenas Portugal e Islândia são plenamente:</w:t>
      </w:r>
    </w:p>
    <w:p w14:paraId="29B2E038" w14:textId="77777777" w:rsidR="00500347" w:rsidRPr="00956944" w:rsidRDefault="00500347" w:rsidP="0050034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Bilíngues</w:t>
      </w:r>
    </w:p>
    <w:p w14:paraId="4E50871B" w14:textId="77777777" w:rsidR="00500347" w:rsidRPr="00956944" w:rsidRDefault="00500347" w:rsidP="0050034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Monolíngues</w:t>
      </w:r>
    </w:p>
    <w:p w14:paraId="025BEA95" w14:textId="77777777" w:rsidR="00500347" w:rsidRPr="00956944" w:rsidRDefault="00500347" w:rsidP="0050034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Poliglotas</w:t>
      </w:r>
    </w:p>
    <w:p w14:paraId="1B430C74" w14:textId="77777777" w:rsidR="00500347" w:rsidRPr="00956944" w:rsidRDefault="00500347" w:rsidP="0050034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Trilíngues</w:t>
      </w:r>
    </w:p>
    <w:p w14:paraId="76418C11" w14:textId="77777777" w:rsidR="00500347" w:rsidRPr="00956944" w:rsidRDefault="00500347" w:rsidP="00500347">
      <w:pPr>
        <w:spacing w:after="0" w:line="480" w:lineRule="auto"/>
        <w:rPr>
          <w:rFonts w:ascii="Verdana" w:hAnsi="Verdana" w:cs="Arial"/>
          <w:szCs w:val="24"/>
        </w:rPr>
      </w:pPr>
    </w:p>
    <w:p w14:paraId="4BA7556C" w14:textId="77777777" w:rsidR="00500347" w:rsidRPr="00956944" w:rsidRDefault="00500347" w:rsidP="0050034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lastRenderedPageBreak/>
        <w:t>A Europa é o continente que primeiro sofreu as modificações demográficas do início do século XX. Elas foram decorrentes:</w:t>
      </w:r>
    </w:p>
    <w:p w14:paraId="6D84E3C7" w14:textId="77777777" w:rsidR="00500347" w:rsidRPr="00956944" w:rsidRDefault="00500347" w:rsidP="0050034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Do avanço científico</w:t>
      </w:r>
    </w:p>
    <w:p w14:paraId="1E233771" w14:textId="77777777" w:rsidR="00500347" w:rsidRPr="00956944" w:rsidRDefault="00500347" w:rsidP="0050034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Da industrialização</w:t>
      </w:r>
    </w:p>
    <w:p w14:paraId="48129E20" w14:textId="77777777" w:rsidR="00500347" w:rsidRPr="00956944" w:rsidRDefault="00500347" w:rsidP="0050034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Da alta na economia</w:t>
      </w:r>
    </w:p>
    <w:p w14:paraId="0D4914AF" w14:textId="77777777" w:rsidR="00500347" w:rsidRPr="00956944" w:rsidRDefault="00500347" w:rsidP="0050034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Das imigrações</w:t>
      </w:r>
    </w:p>
    <w:p w14:paraId="47AB35FF" w14:textId="77777777" w:rsidR="00500347" w:rsidRPr="00956944" w:rsidRDefault="00500347" w:rsidP="00500347">
      <w:pPr>
        <w:spacing w:after="0" w:line="480" w:lineRule="auto"/>
        <w:rPr>
          <w:rFonts w:ascii="Verdana" w:hAnsi="Verdana" w:cs="Arial"/>
          <w:szCs w:val="24"/>
        </w:rPr>
      </w:pPr>
    </w:p>
    <w:p w14:paraId="0E4348DD" w14:textId="77777777" w:rsidR="00500347" w:rsidRPr="00956944" w:rsidRDefault="00500347" w:rsidP="0050034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Com relação aos fatores responsáveis pelo baixo crescimento vegetativo da população europeia, destacam-se a efetiva participação da mulher no mercado de trabalho, a diminuição dos casamentos precoces, o aumento das despesas para a criação de filhos e o planejamento familiar, facilitado por:</w:t>
      </w:r>
    </w:p>
    <w:p w14:paraId="464EF5DD" w14:textId="77777777" w:rsidR="00500347" w:rsidRPr="00956944" w:rsidRDefault="00500347" w:rsidP="0050034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Condições médicas</w:t>
      </w:r>
    </w:p>
    <w:p w14:paraId="5E3B063C" w14:textId="77777777" w:rsidR="00500347" w:rsidRPr="00956944" w:rsidRDefault="00500347" w:rsidP="0050034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Assistência social</w:t>
      </w:r>
    </w:p>
    <w:p w14:paraId="196B1BAB" w14:textId="77777777" w:rsidR="00500347" w:rsidRPr="00956944" w:rsidRDefault="00500347" w:rsidP="0050034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Maior nível de informação</w:t>
      </w:r>
    </w:p>
    <w:p w14:paraId="3D1129DE" w14:textId="77777777" w:rsidR="00500347" w:rsidRPr="00956944" w:rsidRDefault="00500347" w:rsidP="00500347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Métodos contraceptivos</w:t>
      </w:r>
    </w:p>
    <w:p w14:paraId="567FECB5" w14:textId="77777777" w:rsidR="00500347" w:rsidRPr="00956944" w:rsidRDefault="00500347" w:rsidP="00500347">
      <w:pPr>
        <w:spacing w:after="0" w:line="480" w:lineRule="auto"/>
        <w:rPr>
          <w:rFonts w:ascii="Verdana" w:hAnsi="Verdana" w:cs="Arial"/>
          <w:szCs w:val="24"/>
        </w:rPr>
      </w:pPr>
    </w:p>
    <w:p w14:paraId="04A8CB67" w14:textId="77777777" w:rsidR="00500347" w:rsidRPr="00956944" w:rsidRDefault="00500347" w:rsidP="0050034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Entre os principais fatores que motivaram a emigração, ocorrida no início do século XIX até as primeiras décadas do século XX, estavam:</w:t>
      </w:r>
    </w:p>
    <w:p w14:paraId="5A8FD441" w14:textId="77777777" w:rsidR="00500347" w:rsidRPr="00956944" w:rsidRDefault="00500347" w:rsidP="0050034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Perseguições políticas</w:t>
      </w:r>
    </w:p>
    <w:p w14:paraId="5ACEB766" w14:textId="77777777" w:rsidR="00500347" w:rsidRPr="00956944" w:rsidRDefault="00500347" w:rsidP="0050034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Escravidão e falta de saneamento</w:t>
      </w:r>
    </w:p>
    <w:p w14:paraId="475EB293" w14:textId="77777777" w:rsidR="00500347" w:rsidRPr="00956944" w:rsidRDefault="00500347" w:rsidP="0050034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A miséria e a falta de trabalho</w:t>
      </w:r>
    </w:p>
    <w:p w14:paraId="16F5882C" w14:textId="77777777" w:rsidR="00500347" w:rsidRPr="00956944" w:rsidRDefault="00500347" w:rsidP="00500347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A falta de água potável e saneamento</w:t>
      </w:r>
    </w:p>
    <w:p w14:paraId="6475C07F" w14:textId="77777777" w:rsidR="00500347" w:rsidRPr="00956944" w:rsidRDefault="00500347" w:rsidP="00500347">
      <w:pPr>
        <w:spacing w:after="0" w:line="480" w:lineRule="auto"/>
        <w:rPr>
          <w:rFonts w:ascii="Verdana" w:hAnsi="Verdana" w:cs="Arial"/>
          <w:szCs w:val="24"/>
        </w:rPr>
      </w:pPr>
    </w:p>
    <w:p w14:paraId="1466B10A" w14:textId="77777777" w:rsidR="00500347" w:rsidRPr="00956944" w:rsidRDefault="00500347" w:rsidP="0050034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 xml:space="preserve">Alguns países europeus, em função de seu aprimorado sistema de proteção social, são conhecidos por ter aplicado a política conhecida como Estado do Bem-Estar Social, o Welfare </w:t>
      </w:r>
      <w:proofErr w:type="spellStart"/>
      <w:r w:rsidRPr="00956944">
        <w:rPr>
          <w:rFonts w:ascii="Verdana" w:hAnsi="Verdana" w:cs="Arial"/>
          <w:szCs w:val="24"/>
        </w:rPr>
        <w:t>State</w:t>
      </w:r>
      <w:proofErr w:type="spellEnd"/>
      <w:r w:rsidRPr="00956944">
        <w:rPr>
          <w:rFonts w:ascii="Verdana" w:hAnsi="Verdana" w:cs="Arial"/>
          <w:szCs w:val="24"/>
        </w:rPr>
        <w:t>. Outras denominações usadas são Estado-Previdência e:</w:t>
      </w:r>
    </w:p>
    <w:p w14:paraId="42A28B7F" w14:textId="77777777" w:rsidR="00500347" w:rsidRPr="00956944" w:rsidRDefault="00500347" w:rsidP="0050034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lastRenderedPageBreak/>
        <w:t>Estado Social de Direito</w:t>
      </w:r>
    </w:p>
    <w:p w14:paraId="70CE702F" w14:textId="77777777" w:rsidR="00500347" w:rsidRPr="00956944" w:rsidRDefault="00500347" w:rsidP="0050034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Estado Social de Seguro</w:t>
      </w:r>
    </w:p>
    <w:p w14:paraId="3AB2AE3D" w14:textId="77777777" w:rsidR="00500347" w:rsidRPr="00956944" w:rsidRDefault="00500347" w:rsidP="0050034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>Previdência do Estado Social</w:t>
      </w:r>
    </w:p>
    <w:p w14:paraId="73D33B0A" w14:textId="77777777" w:rsidR="00500347" w:rsidRPr="00956944" w:rsidRDefault="00500347" w:rsidP="00500347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956944">
        <w:rPr>
          <w:rFonts w:ascii="Verdana" w:hAnsi="Verdana" w:cs="Arial"/>
          <w:szCs w:val="24"/>
        </w:rPr>
        <w:t xml:space="preserve">Estado-Garantido </w:t>
      </w:r>
      <w:bookmarkEnd w:id="0"/>
    </w:p>
    <w:sectPr w:rsidR="00500347" w:rsidRPr="0095694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0BD43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5C2E9102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78C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BD2C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35771D4C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3AB"/>
    <w:multiLevelType w:val="hybridMultilevel"/>
    <w:tmpl w:val="AA5E7FE0"/>
    <w:lvl w:ilvl="0" w:tplc="09787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D28D1"/>
    <w:multiLevelType w:val="hybridMultilevel"/>
    <w:tmpl w:val="0BF04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D2227"/>
    <w:multiLevelType w:val="hybridMultilevel"/>
    <w:tmpl w:val="87B48EA0"/>
    <w:lvl w:ilvl="0" w:tplc="E0420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A739B"/>
    <w:multiLevelType w:val="hybridMultilevel"/>
    <w:tmpl w:val="4006B728"/>
    <w:lvl w:ilvl="0" w:tplc="5D9C9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E2DFA"/>
    <w:multiLevelType w:val="hybridMultilevel"/>
    <w:tmpl w:val="50D2D828"/>
    <w:lvl w:ilvl="0" w:tplc="F80E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E2F1A"/>
    <w:multiLevelType w:val="hybridMultilevel"/>
    <w:tmpl w:val="5DAAE0C0"/>
    <w:lvl w:ilvl="0" w:tplc="A900E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37"/>
  </w:num>
  <w:num w:numId="5">
    <w:abstractNumId w:val="16"/>
  </w:num>
  <w:num w:numId="6">
    <w:abstractNumId w:val="19"/>
  </w:num>
  <w:num w:numId="7">
    <w:abstractNumId w:val="4"/>
  </w:num>
  <w:num w:numId="8">
    <w:abstractNumId w:val="44"/>
  </w:num>
  <w:num w:numId="9">
    <w:abstractNumId w:val="34"/>
  </w:num>
  <w:num w:numId="10">
    <w:abstractNumId w:val="23"/>
  </w:num>
  <w:num w:numId="11">
    <w:abstractNumId w:val="11"/>
  </w:num>
  <w:num w:numId="12">
    <w:abstractNumId w:val="20"/>
  </w:num>
  <w:num w:numId="13">
    <w:abstractNumId w:val="24"/>
  </w:num>
  <w:num w:numId="14">
    <w:abstractNumId w:val="14"/>
  </w:num>
  <w:num w:numId="15">
    <w:abstractNumId w:val="3"/>
  </w:num>
  <w:num w:numId="16">
    <w:abstractNumId w:val="36"/>
  </w:num>
  <w:num w:numId="17">
    <w:abstractNumId w:val="42"/>
  </w:num>
  <w:num w:numId="18">
    <w:abstractNumId w:val="10"/>
  </w:num>
  <w:num w:numId="19">
    <w:abstractNumId w:val="18"/>
  </w:num>
  <w:num w:numId="20">
    <w:abstractNumId w:val="6"/>
  </w:num>
  <w:num w:numId="21">
    <w:abstractNumId w:val="13"/>
  </w:num>
  <w:num w:numId="22">
    <w:abstractNumId w:val="7"/>
  </w:num>
  <w:num w:numId="23">
    <w:abstractNumId w:val="39"/>
  </w:num>
  <w:num w:numId="24">
    <w:abstractNumId w:val="29"/>
  </w:num>
  <w:num w:numId="25">
    <w:abstractNumId w:val="26"/>
  </w:num>
  <w:num w:numId="26">
    <w:abstractNumId w:val="41"/>
  </w:num>
  <w:num w:numId="27">
    <w:abstractNumId w:val="33"/>
  </w:num>
  <w:num w:numId="28">
    <w:abstractNumId w:val="17"/>
  </w:num>
  <w:num w:numId="29">
    <w:abstractNumId w:val="5"/>
  </w:num>
  <w:num w:numId="30">
    <w:abstractNumId w:val="30"/>
  </w:num>
  <w:num w:numId="31">
    <w:abstractNumId w:val="21"/>
  </w:num>
  <w:num w:numId="32">
    <w:abstractNumId w:val="12"/>
  </w:num>
  <w:num w:numId="33">
    <w:abstractNumId w:val="31"/>
  </w:num>
  <w:num w:numId="34">
    <w:abstractNumId w:val="8"/>
  </w:num>
  <w:num w:numId="35">
    <w:abstractNumId w:val="38"/>
  </w:num>
  <w:num w:numId="36">
    <w:abstractNumId w:val="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9"/>
  </w:num>
  <w:num w:numId="40">
    <w:abstractNumId w:val="2"/>
  </w:num>
  <w:num w:numId="41">
    <w:abstractNumId w:val="43"/>
  </w:num>
  <w:num w:numId="42">
    <w:abstractNumId w:val="28"/>
  </w:num>
  <w:num w:numId="43">
    <w:abstractNumId w:val="25"/>
  </w:num>
  <w:num w:numId="44">
    <w:abstractNumId w:val="3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347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6944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7D5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571F-5499-4D21-B3C6-21242F29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2019-10-23T20:10:00Z</cp:lastPrinted>
  <dcterms:created xsi:type="dcterms:W3CDTF">2019-10-23T20:10:00Z</dcterms:created>
  <dcterms:modified xsi:type="dcterms:W3CDTF">2019-10-23T20:10:00Z</dcterms:modified>
</cp:coreProperties>
</file>