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D537EC" w:rsidRDefault="008F18BB" w:rsidP="00D537E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D537EC">
        <w:rPr>
          <w:rFonts w:ascii="Verdana" w:hAnsi="Verdana" w:cs="Arial"/>
          <w:b/>
          <w:szCs w:val="24"/>
        </w:rPr>
        <w:t>Absolutismo na França</w:t>
      </w:r>
    </w:p>
    <w:p w:rsidR="008F18BB" w:rsidRDefault="008F18B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D537EC" w:rsidRDefault="00D537EC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F18BB" w:rsidRDefault="008F18BB" w:rsidP="008F18B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que intuito a monarquia francesa mantinha laços estreitos com a Igreja?</w:t>
      </w:r>
    </w:p>
    <w:p w:rsidR="008F18BB" w:rsidRDefault="00FB2CC4" w:rsidP="008F18B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2CC4" w:rsidRDefault="00FB2CC4" w:rsidP="008F18B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2CC4" w:rsidRDefault="00FB2CC4" w:rsidP="008F18B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18BB" w:rsidRDefault="008F18BB" w:rsidP="008F18B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Reforma Protestante am</w:t>
      </w:r>
      <w:r w:rsidR="00D537EC">
        <w:rPr>
          <w:rFonts w:ascii="Verdana" w:hAnsi="Verdana" w:cs="Arial"/>
          <w:szCs w:val="24"/>
        </w:rPr>
        <w:t>e</w:t>
      </w:r>
      <w:r>
        <w:rPr>
          <w:rFonts w:ascii="Verdana" w:hAnsi="Verdana" w:cs="Arial"/>
          <w:szCs w:val="24"/>
        </w:rPr>
        <w:t>açava</w:t>
      </w:r>
      <w:r w:rsidR="00E05E4B">
        <w:rPr>
          <w:rFonts w:ascii="Verdana" w:hAnsi="Verdana" w:cs="Arial"/>
          <w:szCs w:val="24"/>
        </w:rPr>
        <w:t>?</w:t>
      </w:r>
    </w:p>
    <w:p w:rsidR="00E05E4B" w:rsidRDefault="00FB2CC4" w:rsidP="00E05E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2CC4" w:rsidRDefault="00FB2CC4" w:rsidP="00E05E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2CC4" w:rsidRDefault="00FB2CC4" w:rsidP="00E05E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5E4B" w:rsidRDefault="00E05E4B" w:rsidP="00E05E4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Temendo que a monarquia perdesse o caráter divino e, com isso, também a autoridade política, além do controle sobre o clero, o que Francisco I (1515-1547) fez?</w:t>
      </w:r>
    </w:p>
    <w:p w:rsidR="00E05E4B" w:rsidRDefault="00FB2CC4" w:rsidP="00E05E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2CC4" w:rsidRDefault="00FB2CC4" w:rsidP="00E05E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2CC4" w:rsidRDefault="00FB2CC4" w:rsidP="00E05E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5E4B" w:rsidRDefault="00E05E4B" w:rsidP="00E05E4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calvinismo se tornou nas décadas que se seguiram</w:t>
      </w:r>
      <w:r w:rsidR="00D537EC">
        <w:rPr>
          <w:rFonts w:ascii="Verdana" w:hAnsi="Verdana" w:cs="Arial"/>
          <w:szCs w:val="24"/>
        </w:rPr>
        <w:t>?</w:t>
      </w:r>
    </w:p>
    <w:p w:rsidR="00D537EC" w:rsidRDefault="00FB2CC4" w:rsidP="00D537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2CC4" w:rsidRDefault="00FB2CC4" w:rsidP="00D537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2CC4" w:rsidRDefault="00FB2CC4" w:rsidP="00D537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37EC" w:rsidRDefault="00D537EC" w:rsidP="00D537E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custaram à monarquia as guerras religiosas que a França viveu entre 1562 e 1598?</w:t>
      </w:r>
    </w:p>
    <w:p w:rsidR="00D537EC" w:rsidRDefault="00FB2CC4" w:rsidP="00D537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2CC4" w:rsidRDefault="00FB2CC4" w:rsidP="00D537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37EC" w:rsidRDefault="00D537EC" w:rsidP="00D537E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rainha Catarina de Medicis, desejosa de afirmar o poder monárquico, ordenou em 1572?</w:t>
      </w:r>
    </w:p>
    <w:p w:rsidR="00FB2CC4" w:rsidRDefault="00FB2CC4" w:rsidP="00FB2C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FB2CC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8B3" w:rsidRDefault="000238B3" w:rsidP="00FE55FB">
      <w:pPr>
        <w:spacing w:after="0" w:line="240" w:lineRule="auto"/>
      </w:pPr>
      <w:r>
        <w:separator/>
      </w:r>
    </w:p>
  </w:endnote>
  <w:endnote w:type="continuationSeparator" w:id="1">
    <w:p w:rsidR="000238B3" w:rsidRDefault="000238B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8B3" w:rsidRDefault="000238B3" w:rsidP="00FE55FB">
      <w:pPr>
        <w:spacing w:after="0" w:line="240" w:lineRule="auto"/>
      </w:pPr>
      <w:r>
        <w:separator/>
      </w:r>
    </w:p>
  </w:footnote>
  <w:footnote w:type="continuationSeparator" w:id="1">
    <w:p w:rsidR="000238B3" w:rsidRDefault="000238B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672F5"/>
    <w:multiLevelType w:val="hybridMultilevel"/>
    <w:tmpl w:val="FD24DC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38B3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129A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2960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67F3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18BB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6E20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37EC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5E4B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2CC4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17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2018-05-20T16:04:00Z</cp:lastPrinted>
  <dcterms:created xsi:type="dcterms:W3CDTF">2018-05-20T16:05:00Z</dcterms:created>
  <dcterms:modified xsi:type="dcterms:W3CDTF">2018-05-20T16:05:00Z</dcterms:modified>
</cp:coreProperties>
</file>